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Abenaki</w:t>
      </w:r>
    </w:p>
    <w:p>
      <w:pPr>
        <w:pStyle w:val="Subtitle"/>
      </w:pPr>
      <w:r>
        <w:t>A comprehensive study of history culture and communities</w:t>
      </w:r>
    </w:p>
    <w:p>
      <w:pPr>
        <w:spacing w:after="240"/>
      </w:pPr>
      <w:r>
        <w:rPr>
          <w:sz w:val="20"/>
        </w:rPr>
        <w:t>Prepared October 15 2026</w:t>
      </w:r>
    </w:p>
    <w:p>
      <w:r>
        <w:t xml:space="preserve">The Abenaki are living Indigenous peoples whose history connects northern New England with southern Quebec. Their communities developed around waterways, farming places, hunting grounds and family networks long before the United States and Canada existed. European settlement brought devastating disease, land loss and repeated war. Abenaki families responded through diplomacy, resistance, migration, trade and the continued teaching of their languages and knowledge. Their history continues through the governments, families and cultural institutions of the present. </w:t>
      </w:r>
      <w:r>
        <w:rPr>
          <w:sz w:val="19"/>
        </w:rPr>
        <w:t>[1, 40, 50]</w:t>
      </w:r>
      <w:r/>
    </w:p>
    <w:p>
      <w:r>
        <w:t>This study follows that history from the ancient Northeast through the present. It explains regional differences, daily life, religion, language, colonial wars, migration, assimilation policies and modern recognition disputes. It gives particular attention to Odanak and Wôlinak and to the historical Abenaki presence in Vermont, New Hampshire and Maine. The numbered references identify sources used for specific passages. Every reference includes its URL. The final reading list distinguishes books available through a catalog or publisher page from sources whose relevant online text was consulted.</w:t>
      </w:r>
    </w:p>
    <w:p>
      <w:pPr>
        <w:pStyle w:val="Heading1"/>
      </w:pPr>
      <w:r>
        <w:t>1 Understanding the name Abenaki</w:t>
      </w:r>
    </w:p>
    <w:p>
      <w:r>
        <w:t xml:space="preserve">Abenaki is commonly translated as people of the dawn or people of the east. Spellings in historical records include Abnaki, Abenaqui and Abénaquis. W8banaki and Wôbanaki are among the forms used today. Different spellings can reflect different languages, writing systems and historical periods. The numeral 8 in some modern writing represents a vowel sound. It is not a decorative replacement for an English letter. </w:t>
      </w:r>
      <w:r>
        <w:rPr>
          <w:sz w:val="19"/>
        </w:rPr>
        <w:t>[3, 12]</w:t>
      </w:r>
      <w:r/>
    </w:p>
    <w:p>
      <w:r>
        <w:t xml:space="preserve">The wider Wabanaki world includes Abenaki, Penobscot, Passamaquoddy, Wolastoqiyik, also called Maliseet, and Mi’kmaq peoples. These peoples have related histories and languages, but their nations have distinct governments and identities. Wabanaki can describe a broad cultural and diplomatic relationship. It should not be used to turn every member nation into a branch of one modern government. </w:t>
      </w:r>
      <w:r>
        <w:rPr>
          <w:sz w:val="19"/>
        </w:rPr>
        <w:t>[1]</w:t>
      </w:r>
      <w:r/>
    </w:p>
    <w:p>
      <w:r>
        <w:t xml:space="preserve">Scholars distinguish Western Abenaki from Eastern Abenaki languages and historical communities. Western Abenaki is closely associated with Odanak and the inland networks of Vermont, New Hampshire and southern Quebec. Eastern Abenaki includes the historical language of the Penobscot and other communities in Maine. These labels describe relationships and regional differences. They do not establish a single political organization that governed everyone placed under them. Smithsonian linguistic records distinguish Western Abenaki, Eastern Abenaki and Passamaquoddy materials, while the Penobscot Nation maintains its own language resources. </w:t>
      </w:r>
      <w:r>
        <w:rPr>
          <w:sz w:val="19"/>
        </w:rPr>
        <w:t>[2, 15]</w:t>
      </w:r>
      <w:r/>
    </w:p>
    <w:p>
      <w:r>
        <w:t xml:space="preserve">The meaning of an old tribal name must therefore be checked against its date and location. A colonial official might identify people by the river where he encountered them. A missionary might group residents of a mission under one name even though they came from several communities. A modern legal designation answers another question: how a particular government recognizes an organization today. Confusing these uses can produce misleading accounts of ancestry, migration and sovereignty. </w:t>
      </w:r>
      <w:r>
        <w:rPr>
          <w:sz w:val="19"/>
        </w:rPr>
        <w:t>[18, 20]</w:t>
      </w:r>
      <w:r/>
    </w:p>
    <w:p>
      <w:pPr>
        <w:pStyle w:val="Heading1"/>
      </w:pPr>
      <w:r>
        <w:t>2 Ancient history and the homeland</w:t>
      </w:r>
    </w:p>
    <w:p>
      <w:r>
        <w:t xml:space="preserve">Human occupation of the Northeast reaches back roughly 12,000 years, following the retreat of the last continental ice sheet. The Musée des Abénakis places the region’s early archaeological history within this long span. Archaeologists distinguish periods by changes in tools, settlement, food production and other material evidence. These are research categories. A stone point cannot, by itself, identify the language or political name of its maker. </w:t>
      </w:r>
      <w:r>
        <w:rPr>
          <w:sz w:val="19"/>
        </w:rPr>
        <w:t>[7]</w:t>
      </w:r>
      <w:r/>
    </w:p>
    <w:p>
      <w:r>
        <w:t xml:space="preserve">Abenaki oral histories preserve relationships with the land through accounts of creation, travel, animals and particular places. Archaeology and oral tradition ask overlapping questions, but they are different kinds of evidence. A creation account should be understood within the community that transmits it. Archaeological dates should not be turned into a claim that every ancient resident used the modern name Abenaki or belonged to an unchanged tribal government. The Abbe Museum presents Wabanaki history through oral tradition, cultural knowledge and material evidence together. </w:t>
      </w:r>
      <w:r>
        <w:rPr>
          <w:sz w:val="19"/>
        </w:rPr>
        <w:t>[49]</w:t>
      </w:r>
      <w:r/>
    </w:p>
    <w:p>
      <w:r>
        <w:t xml:space="preserve">The Abenaki homeland is often called Ndakinna or Ndakina, commonly understood as our land. Its history crosses present borders. Rivers connected the Champlain Valley, the Connecticut Valley, the Maine coast and the St. Lawrence Valley. The Saint-François River was one route between the interior of New England and the St. Lawrence. These waterways carried travelers, goods and information as well as food resources. </w:t>
      </w:r>
      <w:r>
        <w:rPr>
          <w:sz w:val="19"/>
        </w:rPr>
        <w:t>[6, 20]</w:t>
      </w:r>
      <w:r/>
    </w:p>
    <w:tbl>
      <w:tblPr>
        <w:tblW w:type="auto" w:w="0"/>
        <w:jc w:val="center"/>
        <w:tblLayout w:type="fixed"/>
        <w:tblLook w:firstColumn="1" w:firstRow="1" w:lastColumn="0" w:lastRow="0" w:noHBand="0" w:noVBand="1" w:val="04A0"/>
        <w:tblLayout w:type="fixed"/>
        <w:tblW w:w="9648" w:type="dxa"/>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00" w:type="dxa"/>
          <w:right w:w="100" w:type="dxa"/>
        </w:tblCellMar>
      </w:tblPr>
      <w:tblGrid>
        <w:gridCol w:w="2232"/>
        <w:gridCol w:w="2880"/>
        <w:gridCol w:w="4536"/>
      </w:tblGrid>
      <w:tr>
        <w:trPr>
          <w:cantSplit/>
          <w:tblHeader/>
        </w:trPr>
        <w:tc>
          <w:tcPr>
            <w:tcW w:type="dxa" w:w="2232"/>
            <w:vAlign w:val="center"/>
            <w:shd w:fill="E7EDF3"/>
          </w:tcPr>
          <w:p>
            <w:pPr>
              <w:keepNext/>
              <w:spacing w:after="0" w:line="254" w:lineRule="auto"/>
            </w:pPr>
            <w:r>
              <w:rPr>
                <w:rFonts w:ascii="Cambria" w:hAnsi="Cambria"/>
                <w:b/>
                <w:color w:val="000000"/>
                <w:sz w:val="21"/>
              </w:rPr>
              <w:t>Historical region</w:t>
            </w:r>
          </w:p>
        </w:tc>
        <w:tc>
          <w:tcPr>
            <w:tcW w:type="dxa" w:w="2880"/>
            <w:vAlign w:val="center"/>
            <w:shd w:fill="E7EDF3"/>
          </w:tcPr>
          <w:p>
            <w:pPr>
              <w:keepNext/>
              <w:spacing w:after="0" w:line="254" w:lineRule="auto"/>
            </w:pPr>
            <w:r>
              <w:rPr>
                <w:rFonts w:ascii="Cambria" w:hAnsi="Cambria"/>
                <w:b/>
                <w:color w:val="000000"/>
                <w:sz w:val="21"/>
              </w:rPr>
              <w:t>Communities or connections</w:t>
            </w:r>
          </w:p>
        </w:tc>
        <w:tc>
          <w:tcPr>
            <w:tcW w:type="dxa" w:w="4536"/>
            <w:vAlign w:val="center"/>
            <w:shd w:fill="E7EDF3"/>
          </w:tcPr>
          <w:p>
            <w:pPr>
              <w:keepNext/>
              <w:spacing w:after="0" w:line="254" w:lineRule="auto"/>
            </w:pPr>
            <w:r>
              <w:rPr>
                <w:rFonts w:ascii="Cambria" w:hAnsi="Cambria"/>
                <w:b/>
                <w:color w:val="000000"/>
                <w:sz w:val="21"/>
              </w:rPr>
              <w:t>Importance</w:t>
            </w:r>
          </w:p>
        </w:tc>
      </w:tr>
      <w:tr>
        <w:trPr>
          <w:cantSplit/>
        </w:trPr>
        <w:tc>
          <w:tcPr>
            <w:tcW w:type="dxa" w:w="2232"/>
            <w:vAlign w:val="center"/>
            <w:shd w:fill="FFFFFF"/>
          </w:tcPr>
          <w:p>
            <w:pPr>
              <w:keepNext w:val="0"/>
              <w:spacing w:after="0" w:line="254" w:lineRule="auto"/>
            </w:pPr>
            <w:r>
              <w:rPr>
                <w:rFonts w:ascii="Cambria" w:hAnsi="Cambria"/>
                <w:b w:val="0"/>
                <w:color w:val="000000"/>
                <w:sz w:val="21"/>
              </w:rPr>
              <w:t>Lake Champlain and Missisquoi River</w:t>
            </w:r>
          </w:p>
        </w:tc>
        <w:tc>
          <w:tcPr>
            <w:tcW w:type="dxa" w:w="2880"/>
            <w:vAlign w:val="center"/>
            <w:shd w:fill="FFFFFF"/>
          </w:tcPr>
          <w:p>
            <w:pPr>
              <w:keepNext w:val="0"/>
              <w:spacing w:after="0" w:line="254" w:lineRule="auto"/>
            </w:pPr>
            <w:r>
              <w:rPr>
                <w:rFonts w:ascii="Cambria" w:hAnsi="Cambria"/>
                <w:b w:val="0"/>
                <w:color w:val="000000"/>
                <w:sz w:val="21"/>
              </w:rPr>
              <w:t>Missisquoi and neighboring inland communities</w:t>
            </w:r>
          </w:p>
        </w:tc>
        <w:tc>
          <w:tcPr>
            <w:tcW w:type="dxa" w:w="4536"/>
            <w:vAlign w:val="center"/>
            <w:shd w:fill="FFFFFF"/>
          </w:tcPr>
          <w:p>
            <w:pPr>
              <w:keepNext w:val="0"/>
              <w:spacing w:after="0" w:line="254" w:lineRule="auto"/>
            </w:pPr>
            <w:r>
              <w:rPr>
                <w:rFonts w:ascii="Cambria" w:hAnsi="Cambria"/>
                <w:b w:val="0"/>
                <w:color w:val="000000"/>
                <w:sz w:val="21"/>
              </w:rPr>
              <w:t>Farming, fishing and routes toward the St. Lawrence</w:t>
            </w:r>
          </w:p>
        </w:tc>
      </w:tr>
      <w:tr>
        <w:trPr>
          <w:cantSplit/>
        </w:trPr>
        <w:tc>
          <w:tcPr>
            <w:tcW w:type="dxa" w:w="2232"/>
            <w:vAlign w:val="center"/>
            <w:shd w:fill="F7F8FA"/>
          </w:tcPr>
          <w:p>
            <w:pPr>
              <w:keepNext w:val="0"/>
              <w:spacing w:after="0" w:line="254" w:lineRule="auto"/>
            </w:pPr>
            <w:r>
              <w:rPr>
                <w:rFonts w:ascii="Cambria" w:hAnsi="Cambria"/>
                <w:b w:val="0"/>
                <w:color w:val="000000"/>
                <w:sz w:val="21"/>
              </w:rPr>
              <w:t>Connecticut River Valley</w:t>
            </w:r>
          </w:p>
        </w:tc>
        <w:tc>
          <w:tcPr>
            <w:tcW w:type="dxa" w:w="2880"/>
            <w:vAlign w:val="center"/>
            <w:shd w:fill="F7F8FA"/>
          </w:tcPr>
          <w:p>
            <w:pPr>
              <w:keepNext w:val="0"/>
              <w:spacing w:after="0" w:line="254" w:lineRule="auto"/>
            </w:pPr>
            <w:r>
              <w:rPr>
                <w:rFonts w:ascii="Cambria" w:hAnsi="Cambria"/>
                <w:b w:val="0"/>
                <w:color w:val="000000"/>
                <w:sz w:val="21"/>
              </w:rPr>
              <w:t>Sokoki and Cowass or Cowasuck communities</w:t>
            </w:r>
          </w:p>
        </w:tc>
        <w:tc>
          <w:tcPr>
            <w:tcW w:type="dxa" w:w="4536"/>
            <w:vAlign w:val="center"/>
            <w:shd w:fill="F7F8FA"/>
          </w:tcPr>
          <w:p>
            <w:pPr>
              <w:keepNext w:val="0"/>
              <w:spacing w:after="0" w:line="254" w:lineRule="auto"/>
            </w:pPr>
            <w:r>
              <w:rPr>
                <w:rFonts w:ascii="Cambria" w:hAnsi="Cambria"/>
                <w:b w:val="0"/>
                <w:color w:val="000000"/>
                <w:sz w:val="21"/>
              </w:rPr>
              <w:t>Village sites, agricultural land and north south travel</w:t>
            </w:r>
          </w:p>
        </w:tc>
      </w:tr>
      <w:tr>
        <w:trPr>
          <w:cantSplit/>
        </w:trPr>
        <w:tc>
          <w:tcPr>
            <w:tcW w:type="dxa" w:w="2232"/>
            <w:vAlign w:val="center"/>
            <w:shd w:fill="FFFFFF"/>
          </w:tcPr>
          <w:p>
            <w:pPr>
              <w:keepNext w:val="0"/>
              <w:spacing w:after="0" w:line="254" w:lineRule="auto"/>
            </w:pPr>
            <w:r>
              <w:rPr>
                <w:rFonts w:ascii="Cambria" w:hAnsi="Cambria"/>
                <w:b w:val="0"/>
                <w:color w:val="000000"/>
                <w:sz w:val="21"/>
              </w:rPr>
              <w:t>Merrimack and adjacent valleys</w:t>
            </w:r>
          </w:p>
        </w:tc>
        <w:tc>
          <w:tcPr>
            <w:tcW w:type="dxa" w:w="2880"/>
            <w:vAlign w:val="center"/>
            <w:shd w:fill="FFFFFF"/>
          </w:tcPr>
          <w:p>
            <w:pPr>
              <w:keepNext w:val="0"/>
              <w:spacing w:after="0" w:line="254" w:lineRule="auto"/>
            </w:pPr>
            <w:r>
              <w:rPr>
                <w:rFonts w:ascii="Cambria" w:hAnsi="Cambria"/>
                <w:b w:val="0"/>
                <w:color w:val="000000"/>
                <w:sz w:val="21"/>
              </w:rPr>
              <w:t>Pennacook and related communities</w:t>
            </w:r>
          </w:p>
        </w:tc>
        <w:tc>
          <w:tcPr>
            <w:tcW w:type="dxa" w:w="4536"/>
            <w:vAlign w:val="center"/>
            <w:shd w:fill="FFFFFF"/>
          </w:tcPr>
          <w:p>
            <w:pPr>
              <w:keepNext w:val="0"/>
              <w:spacing w:after="0" w:line="254" w:lineRule="auto"/>
            </w:pPr>
            <w:r>
              <w:rPr>
                <w:rFonts w:ascii="Cambria" w:hAnsi="Cambria"/>
                <w:b w:val="0"/>
                <w:color w:val="000000"/>
                <w:sz w:val="21"/>
              </w:rPr>
              <w:t>Connections between inland New Hampshire and southern New England</w:t>
            </w:r>
          </w:p>
        </w:tc>
      </w:tr>
      <w:tr>
        <w:trPr>
          <w:cantSplit/>
        </w:trPr>
        <w:tc>
          <w:tcPr>
            <w:tcW w:type="dxa" w:w="2232"/>
            <w:vAlign w:val="center"/>
            <w:shd w:fill="F7F8FA"/>
          </w:tcPr>
          <w:p>
            <w:pPr>
              <w:keepNext w:val="0"/>
              <w:spacing w:after="0" w:line="254" w:lineRule="auto"/>
            </w:pPr>
            <w:r>
              <w:rPr>
                <w:rFonts w:ascii="Cambria" w:hAnsi="Cambria"/>
                <w:b w:val="0"/>
                <w:color w:val="000000"/>
                <w:sz w:val="21"/>
              </w:rPr>
              <w:t>Kennebec and Penobscot watersheds</w:t>
            </w:r>
          </w:p>
        </w:tc>
        <w:tc>
          <w:tcPr>
            <w:tcW w:type="dxa" w:w="2880"/>
            <w:vAlign w:val="center"/>
            <w:shd w:fill="F7F8FA"/>
          </w:tcPr>
          <w:p>
            <w:pPr>
              <w:keepNext w:val="0"/>
              <w:spacing w:after="0" w:line="254" w:lineRule="auto"/>
            </w:pPr>
            <w:r>
              <w:rPr>
                <w:rFonts w:ascii="Cambria" w:hAnsi="Cambria"/>
                <w:b w:val="0"/>
                <w:color w:val="000000"/>
                <w:sz w:val="21"/>
              </w:rPr>
              <w:t>Norridgewock and Penobscot communities</w:t>
            </w:r>
          </w:p>
        </w:tc>
        <w:tc>
          <w:tcPr>
            <w:tcW w:type="dxa" w:w="4536"/>
            <w:vAlign w:val="center"/>
            <w:shd w:fill="F7F8FA"/>
          </w:tcPr>
          <w:p>
            <w:pPr>
              <w:keepNext w:val="0"/>
              <w:spacing w:after="0" w:line="254" w:lineRule="auto"/>
            </w:pPr>
            <w:r>
              <w:rPr>
                <w:rFonts w:ascii="Cambria" w:hAnsi="Cambria"/>
                <w:b w:val="0"/>
                <w:color w:val="000000"/>
                <w:sz w:val="21"/>
              </w:rPr>
              <w:t>Eastern Abenaki history, fisheries and colonial conflict</w:t>
            </w:r>
          </w:p>
        </w:tc>
      </w:tr>
      <w:tr>
        <w:trPr>
          <w:cantSplit/>
        </w:trPr>
        <w:tc>
          <w:tcPr>
            <w:tcW w:type="dxa" w:w="2232"/>
            <w:vAlign w:val="center"/>
            <w:shd w:fill="FFFFFF"/>
          </w:tcPr>
          <w:p>
            <w:pPr>
              <w:keepNext w:val="0"/>
              <w:spacing w:after="0" w:line="254" w:lineRule="auto"/>
            </w:pPr>
            <w:r>
              <w:rPr>
                <w:rFonts w:ascii="Cambria" w:hAnsi="Cambria"/>
                <w:b w:val="0"/>
                <w:color w:val="000000"/>
                <w:sz w:val="21"/>
              </w:rPr>
              <w:t>Saint-François and Bécancour region</w:t>
            </w:r>
          </w:p>
        </w:tc>
        <w:tc>
          <w:tcPr>
            <w:tcW w:type="dxa" w:w="2880"/>
            <w:vAlign w:val="center"/>
            <w:shd w:fill="FFFFFF"/>
          </w:tcPr>
          <w:p>
            <w:pPr>
              <w:keepNext w:val="0"/>
              <w:spacing w:after="0" w:line="254" w:lineRule="auto"/>
            </w:pPr>
            <w:r>
              <w:rPr>
                <w:rFonts w:ascii="Cambria" w:hAnsi="Cambria"/>
                <w:b w:val="0"/>
                <w:color w:val="000000"/>
                <w:sz w:val="21"/>
              </w:rPr>
              <w:t>Odanak and Wôlinak</w:t>
            </w:r>
          </w:p>
        </w:tc>
        <w:tc>
          <w:tcPr>
            <w:tcW w:type="dxa" w:w="4536"/>
            <w:vAlign w:val="center"/>
            <w:shd w:fill="FFFFFF"/>
          </w:tcPr>
          <w:p>
            <w:pPr>
              <w:keepNext w:val="0"/>
              <w:spacing w:after="0" w:line="254" w:lineRule="auto"/>
            </w:pPr>
            <w:r>
              <w:rPr>
                <w:rFonts w:ascii="Cambria" w:hAnsi="Cambria"/>
                <w:b w:val="0"/>
                <w:color w:val="000000"/>
                <w:sz w:val="21"/>
              </w:rPr>
              <w:t>Longstanding Abenaki settlement and later centers of refuge</w:t>
            </w:r>
          </w:p>
        </w:tc>
      </w:tr>
    </w:tbl>
    <w:p>
      <w:pPr>
        <w:spacing w:before="0" w:after="40" w:line="80" w:lineRule="exact"/>
      </w:pPr>
      <w:r>
        <w:rPr>
          <w:sz w:val="6"/>
        </w:rPr>
      </w:r>
    </w:p>
    <w:p>
      <w:r>
        <w:t xml:space="preserve">The table gives broad historical relationships, rather than fixed borders for every period. Pennacook communities, for example, had their own political history even when connected to Abenaki networks. Modern organizations that use these historical names require separate study. </w:t>
      </w:r>
      <w:r>
        <w:rPr>
          <w:sz w:val="19"/>
        </w:rPr>
        <w:t>[18, 20, 24]</w:t>
      </w:r>
      <w:r/>
    </w:p>
    <w:p>
      <w:pPr>
        <w:pStyle w:val="Heading1"/>
      </w:pPr>
      <w:r>
        <w:t>3 Food work and seasonal movement</w:t>
      </w:r>
    </w:p>
    <w:p>
      <w:r>
        <w:t xml:space="preserve">Many Abenaki families combined agriculture with hunting, fishing and gathering. Their movements followed the availability of resources and the needs of relatives. The Musée des Abénakis describes people gathering in larger groups during planting seasons and dispersing into smaller communities for much of the year. Corn, beans, squash and tobacco were cultivated alongside foods taken from forests, rivers and wetlands. The balance differed from place to place. </w:t>
      </w:r>
      <w:r>
        <w:rPr>
          <w:sz w:val="19"/>
        </w:rPr>
        <w:t>[3, 4]</w:t>
      </w:r>
      <w:r/>
    </w:p>
    <w:p>
      <w:r>
        <w:t xml:space="preserve">Seasonal movement required planning. A family needed to know when food would become available, where it could be processed and how to return to stored supplies. Moving between familiar places also renewed relationships with relatives and neighboring communities. Mobility was part of maintaining a homeland. </w:t>
      </w:r>
      <w:r>
        <w:rPr>
          <w:sz w:val="19"/>
        </w:rPr>
        <w:t>[3]</w:t>
      </w:r>
      <w:r>
        <w:t xml:space="preserve"> During colonization, warfare and settlement could turn a planned journey into a forced departure. The historical question is whether people moved by choice, under pressure or through some combination of the two. </w:t>
      </w:r>
      <w:r>
        <w:rPr>
          <w:sz w:val="19"/>
        </w:rPr>
        <w:t>[50]</w:t>
      </w:r>
      <w:r/>
    </w:p>
    <w:p>
      <w:r>
        <w:t xml:space="preserve">Excavations at Odanak provide direct evidence of food and domestic work. Archaeologists found fish and mammal bones, including remains of muskrat, beaver and deer. Carbonized corncobs included an eight row Northern Flint variety. Storage pits and traces of interior posts reveal places for cooking, sleeping and keeping supplies. These findings show that village life brought cultivated crops and wild resources together. </w:t>
      </w:r>
      <w:r>
        <w:rPr>
          <w:sz w:val="19"/>
        </w:rPr>
        <w:t>[8]</w:t>
      </w:r>
      <w:r/>
    </w:p>
    <w:p>
      <w:r>
        <w:t xml:space="preserve">This mixed economy also helps explain the damage caused by colonial war. Losing a planting field, a hunting route or access to a river could disrupt an entire year’s food supply. Refugees might arrive among relatives when those relatives already faced shortages. A raid that burned stored food could injure people who had escaped the initial attack. This is a historical inference from the connection between seasonal subsistence, migration and the destruction of villages documented in the sources. </w:t>
      </w:r>
      <w:r>
        <w:rPr>
          <w:sz w:val="19"/>
        </w:rPr>
        <w:t>[18, 25]</w:t>
      </w:r>
      <w:r/>
    </w:p>
    <w:p>
      <w:pPr>
        <w:pStyle w:val="Heading1"/>
      </w:pPr>
      <w:r>
        <w:t>4 Houses clothing transportation and art</w:t>
      </w:r>
    </w:p>
    <w:p>
      <w:r>
        <w:t xml:space="preserve">Abenaki houses varied in size, form and materials. At Odanak, historical and archaeological evidence identifies bark dwellings and larger structures used by several families, alongside buildings influenced by French construction. Household space included sleeping and storage platforms and places for food preparation. The presence of European materials in a Native house does not establish that its residents had ceased to be Abenaki. </w:t>
      </w:r>
      <w:r>
        <w:rPr>
          <w:sz w:val="19"/>
        </w:rPr>
        <w:t>[8, 21]</w:t>
      </w:r>
      <w:r/>
    </w:p>
    <w:p>
      <w:r>
        <w:t xml:space="preserve">People also adapted imported materials to their own purposes. At the Odanak excavations, copper kettles had been cut into pieces and worked into small cones that could sound when attached to clothing or hair. Trade beads and metalworking remains show choices about both practical use and decoration. Such objects record exchange and local craftsmanship together. </w:t>
      </w:r>
      <w:r>
        <w:rPr>
          <w:sz w:val="19"/>
        </w:rPr>
        <w:t>[9]</w:t>
      </w:r>
      <w:r/>
    </w:p>
    <w:p>
      <w:r>
        <w:t xml:space="preserve">Birchbark canoes suited travel through waterways connected by overland carrying routes. The Abbe Museum uses a canoe built in 2013 to explain how knowledge of construction continues across generations. A canoe depended on skilled selection and assembly of materials, as well as knowledge of water conditions. Its historical importance lies in the work and travel it made possible. </w:t>
      </w:r>
      <w:r>
        <w:rPr>
          <w:sz w:val="19"/>
        </w:rPr>
        <w:t>[1]</w:t>
      </w:r>
      <w:r/>
    </w:p>
    <w:p>
      <w:r>
        <w:t xml:space="preserve">Basketry became especially important in Abenaki economic history. Black ash or brown ash splints and sweetgrass could be worked into useful containers and fine pieces made for sale. The Smithsonian holds a miniature Odanak basket dated approximately 1900 to 1910, only a few centimeters across, that demonstrates this skill. Its catalog also records limits in the object’s collection history. A museum object can provide evidence of materials and technique while leaving its maker unidentified. </w:t>
      </w:r>
      <w:r>
        <w:rPr>
          <w:sz w:val="19"/>
        </w:rPr>
        <w:t>[10]</w:t>
      </w:r>
      <w:r/>
    </w:p>
    <w:p>
      <w:r>
        <w:t xml:space="preserve">The Musée des Abénakis preserves archaeological finds, archival documents, historical objects and contemporary artworks together. That arrangement encourages a useful question: how has a practice changed while remaining part of community life? It avoids treating one century’s clothing or household objects as the permanent test of Abenaki identity. </w:t>
      </w:r>
      <w:r>
        <w:rPr>
          <w:sz w:val="19"/>
        </w:rPr>
        <w:t>[11]</w:t>
      </w:r>
      <w:r/>
    </w:p>
    <w:p>
      <w:pPr>
        <w:pStyle w:val="Heading1"/>
      </w:pPr>
      <w:r>
        <w:t>5 Family government and diplomacy</w:t>
      </w:r>
    </w:p>
    <w:p>
      <w:r>
        <w:t xml:space="preserve">Extended families formed a central part of social and political life. Margaret Bruchac’s historical account describes children learning from parents, grandparents and other relatives through shared work. Relatives also helped care for orphans, sick people and elders. Women and men could exercise leadership, and the division of work was more flexible than a simple rule assigning all outdoor work to men and all household work to women. These descriptions concern historical patterns, rather than identical rules in every family. </w:t>
      </w:r>
      <w:r>
        <w:rPr>
          <w:sz w:val="19"/>
        </w:rPr>
        <w:t>[5]</w:t>
      </w:r>
      <w:r/>
    </w:p>
    <w:p>
      <w:r>
        <w:t xml:space="preserve">Political authority often depended on persuasion and the support of families. Communities could have several leaders with different responsibilities. People could refuse cooperation or move away from a leader they opposed. This helps explain why an agreement made by one leader did not necessarily bind every related community. It also explains why colonial demands for a single representative could distort the political situation. </w:t>
      </w:r>
      <w:r>
        <w:rPr>
          <w:sz w:val="19"/>
        </w:rPr>
        <w:t>[5]</w:t>
      </w:r>
      <w:r/>
    </w:p>
    <w:p>
      <w:r>
        <w:t xml:space="preserve">Alliances joined communities without removing their independence. Odanak participated in relationships involving other Wabanaki peoples and the Seven Nations of Canada. The latter linked Catholic Indigenous communities with different origins, including Algonquian and Iroquoian peoples. These relationships show that warfare with particular Mohawk or other Haudenosaunee forces did not make all Iroquoian peoples permanent enemies of all Abenaki people. Alliances changed, and specific communities could cooperate across linguistic differences. </w:t>
      </w:r>
      <w:r>
        <w:rPr>
          <w:sz w:val="19"/>
        </w:rPr>
        <w:t>[21, 28]</w:t>
      </w:r>
      <w:r/>
    </w:p>
    <w:p>
      <w:r>
        <w:t xml:space="preserve">Diplomacy also involved trade, gifts and the maintenance of personal relationships. Olive Patricia Dickason’s study shows how French officials used supplies and presents to sustain alliances. Abenaki leaders assessed what these relationships offered while protecting their own interests. French officials’ repeated efforts to secure cooperation are evidence that cooperation could not simply be assumed. </w:t>
      </w:r>
      <w:r>
        <w:rPr>
          <w:sz w:val="19"/>
        </w:rPr>
        <w:t>[19]</w:t>
      </w:r>
      <w:r/>
    </w:p>
    <w:p>
      <w:pPr>
        <w:pStyle w:val="Heading1"/>
      </w:pPr>
      <w:r>
        <w:t>6 Spiritual life and storytelling</w:t>
      </w:r>
    </w:p>
    <w:p>
      <w:r>
        <w:t xml:space="preserve">Abenaki spiritual traditions connect human life with animals, plants, waters and other beings. The Musée des Abénakis presents creation accounts and Glooskap, a central figure in Wabanaki storytelling. Such stories concern the origins of the world and the obligations of those who live within it. They also transmit knowledge through memorable events and characters. Individual versions belong to particular speakers and communities; a brief retelling cannot represent every tradition. </w:t>
      </w:r>
      <w:r>
        <w:rPr>
          <w:sz w:val="19"/>
        </w:rPr>
        <w:t>[44]</w:t>
      </w:r>
      <w:r/>
    </w:p>
    <w:p>
      <w:r>
        <w:t>Stories can preserve family history as well as spiritual teaching. An account transmitted through several generations may identify relationships, places and experiences absent from military reports. Its value depends in part on knowing who told it, how it was passed down and what kind of account the speaker intended. The story of the 1759 Odanak attack, discussed below, provides a specific example.</w:t>
      </w:r>
    </w:p>
    <w:p>
      <w:r>
        <w:t xml:space="preserve">Catholicism became an important part of many Abenaki communities through contact with French missionaries. Jesuits learned Abenaki, composed religious materials and participated in colonial diplomacy. Their efforts sought changes in belief and behavior, as well as religious conversion. Abenaki people responded in different ways. Some accepted Catholic practice, some maintained other traditions and some brought elements into continuing community life together. </w:t>
      </w:r>
      <w:r>
        <w:rPr>
          <w:sz w:val="19"/>
        </w:rPr>
        <w:t>[21, 22]</w:t>
      </w:r>
      <w:r/>
    </w:p>
    <w:p>
      <w:r>
        <w:t xml:space="preserve">Missionary writings require close reading. When a priest described conversion as complete, he was also presenting the success of his own work to readers and patrons. His description cannot settle what every household believed. Abenaki religious history must leave room for disagreement, selective adoption and changes over time. </w:t>
      </w:r>
      <w:r>
        <w:rPr>
          <w:sz w:val="19"/>
        </w:rPr>
        <w:t>[22]</w:t>
      </w:r>
      <w:r/>
    </w:p>
    <w:p>
      <w:pPr>
        <w:pStyle w:val="Heading1"/>
      </w:pPr>
      <w:r>
        <w:t>7 Language and the work of preservation</w:t>
      </w:r>
    </w:p>
    <w:p>
      <w:r>
        <w:t xml:space="preserve">Abenaki belongs to the Algonquian language family. Algonquian is the family name; Algonquin is also the name of a particular Indigenous people and language. The distinction matters even though some older institutional pages use the terms loosely. Western and Eastern Abenaki are related, but records and learning materials should identify which language or community they concern. </w:t>
      </w:r>
      <w:r>
        <w:rPr>
          <w:sz w:val="19"/>
        </w:rPr>
        <w:t>[2, 12, 15]</w:t>
      </w:r>
      <w:r/>
    </w:p>
    <w:p>
      <w:r>
        <w:t xml:space="preserve">The language organizes meanings differently from English. University of New Hampshire language materials explain a distinction between animate and inanimate nouns and the use of a third person pronoun without the English division between he and she. They also explain the nasal vowel written as 8 in some spelling systems. These are grammatical features. They should not be converted into sweeping claims that language alone proves how every speaker thinks or behaves. </w:t>
      </w:r>
      <w:r>
        <w:rPr>
          <w:sz w:val="19"/>
        </w:rPr>
        <w:t>[12]</w:t>
      </w:r>
      <w:r/>
    </w:p>
    <w:p>
      <w:r>
        <w:t xml:space="preserve">Joseph Laurent, also known as Sozap Lolô, published New Familiar Abenakis and English Dialogues in 1884. He was an Odanak leader, teacher and entrepreneur. His stated purposes included helping young Abenaki people learn English and preserving Abenaki in writing. The book includes pronunciation, vocabulary and grammatical material. It demonstrates that Abenaki people took an active part in recording their language, rather than leaving that work entirely to missionaries and visiting scholars. </w:t>
      </w:r>
      <w:r>
        <w:rPr>
          <w:sz w:val="19"/>
        </w:rPr>
        <w:t>[13]</w:t>
      </w:r>
      <w:r/>
    </w:p>
    <w:p>
      <w:r>
        <w:t xml:space="preserve">Language records also preserve the contributions of speakers whose names are less widely known. Smithsonian records identify Flora Masta as an Abenaki language contributor to Truman Michelson’s work at Carlisle in 1911 and 1912. A catalog organized under a collector’s name may therefore contain knowledge supplied by a student or community member. Naming those contributors changes how the archive is understood. </w:t>
      </w:r>
      <w:r>
        <w:rPr>
          <w:sz w:val="19"/>
        </w:rPr>
        <w:t>[31]</w:t>
      </w:r>
      <w:r/>
    </w:p>
    <w:p>
      <w:r>
        <w:t xml:space="preserve">Revitalization continues through classes, recordings and immersion. Middlebury began its Abenaki program in 2020 in collaboration with Jesse Bowman Bruchac. Its description of the program links language learning with activities such as games and basketry. This documents a particular educational initiative. It does not resolve the separate controversy over the ancestry of individuals associated with Vermont organizations. The Penobscot Nation’s language department likewise offers its own classes and online dictionary with audio. </w:t>
      </w:r>
      <w:r>
        <w:rPr>
          <w:sz w:val="19"/>
        </w:rPr>
        <w:t>[14, 15]</w:t>
      </w:r>
      <w:r/>
    </w:p>
    <w:p>
      <w:pPr>
        <w:pStyle w:val="Heading1"/>
      </w:pPr>
      <w:r>
        <w:t>8 Early encounters disease and the fur trade</w:t>
      </w:r>
    </w:p>
    <w:p>
      <w:r>
        <w:t xml:space="preserve">European contact developed over time through fishing, exploration, trade and attempted settlement. Some encounters involved exchange; others involved kidnapping and enslavement. The Smithsonian’s educational account identifies the Abenaki leader Nahanendo among Native captives who returned from Europe. Such experiences shaped how communities judged later visitors and their intentions. </w:t>
      </w:r>
      <w:r>
        <w:rPr>
          <w:sz w:val="19"/>
        </w:rPr>
        <w:t>[17]</w:t>
      </w:r>
      <w:r/>
    </w:p>
    <w:p>
      <w:r>
        <w:t xml:space="preserve">Samoset’s arrival at Plymouth in March 1621 is a well documented example of Indigenous knowledge crossing community boundaries. A leader from present day Maine, he spoke English he had likely learned through contact with fishermen and traders. The published colonial account describes his information about Patuxet and the devastating epidemic along the coast. Samoset should be distinguished from Tisquantum, also called Squanto, whose home community was Patuxet. </w:t>
      </w:r>
      <w:r>
        <w:rPr>
          <w:sz w:val="19"/>
        </w:rPr>
        <w:t>[16]</w:t>
      </w:r>
      <w:r/>
    </w:p>
    <w:p>
      <w:r>
        <w:t xml:space="preserve">Epidemics in the early seventeenth century killed large numbers of Indigenous people in coastal New England. The disease or diseases involved in the outbreak of 1616 to 1619 remain debated. A single mortality estimate cannot safely be applied to all Abenaki communities. Places differed in exposure, population and the survival of records. Historians also have to separate death from migration when assessing a colonial description of an apparently deserted place. </w:t>
      </w:r>
      <w:r>
        <w:rPr>
          <w:sz w:val="19"/>
        </w:rPr>
        <w:t>[16, 18]</w:t>
      </w:r>
      <w:r/>
    </w:p>
    <w:p>
      <w:r>
        <w:t xml:space="preserve">The fur trade connected Native networks with French, English and Dutch markets. Metal tools, cloth and other imported goods could be useful, but the trade also exposed communities to debt, competition and changing demands on animals and labor. Abenaki people traded through their own regional relationships as well as directly with Europeans. Neither acquiring imported goods nor seeking the best trade terms made a community a passive extension of a European colony. </w:t>
      </w:r>
      <w:r>
        <w:rPr>
          <w:sz w:val="19"/>
        </w:rPr>
        <w:t>[19]</w:t>
      </w:r>
      <w:r/>
    </w:p>
    <w:p>
      <w:r>
        <w:t xml:space="preserve">Disease weakened communities at the same time that settlers sought more land. The resulting imbalance affected who could plant, care for children, defend a village and support refugees. Demographic loss and displacement therefore need to be studied together. </w:t>
      </w:r>
      <w:r>
        <w:rPr>
          <w:sz w:val="19"/>
        </w:rPr>
        <w:t>[50]</w:t>
      </w:r>
      <w:r/>
    </w:p>
    <w:p>
      <w:pPr>
        <w:pStyle w:val="Heading1"/>
      </w:pPr>
      <w:r>
        <w:t>9 Colonial expansion and the wars of the Northeast</w:t>
      </w:r>
    </w:p>
    <w:p>
      <w:pPr>
        <w:pStyle w:val="Heading2"/>
      </w:pPr>
      <w:r>
        <w:t>The war of 1675 and the movement of refugees</w:t>
      </w:r>
    </w:p>
    <w:p>
      <w:r>
        <w:t xml:space="preserve">King Philip’s War began in southern New England in 1675. Metacom, whom the English called King Philip, was Wampanoag. The conflict involved several Native nations and English colonies. Its effects spread through connected communities, and northern fighting and displacement continued beyond the collapse of Metacom’s alliance in 1676. Calling it an Abenaki national war would obscure those differences. </w:t>
      </w:r>
      <w:r>
        <w:rPr>
          <w:sz w:val="19"/>
        </w:rPr>
        <w:t>[17, 18]</w:t>
      </w:r>
      <w:r/>
    </w:p>
    <w:p>
      <w:r>
        <w:t xml:space="preserve">Families fled attacks, damaged food supplies and the threat of captivity. Some sought refuge at Schaghticoke in the Hudson Valley, while others went north toward Missisquoi, Cowass and settlements in the St. Lawrence Valley. Refuge was often possible because people already had relatives or allies there. These journeys could involve return trips and further relocation. The refugee population was not one uniform group following a single route. </w:t>
      </w:r>
      <w:r>
        <w:rPr>
          <w:sz w:val="19"/>
        </w:rPr>
        <w:t>[20, 50]</w:t>
      </w:r>
      <w:r/>
    </w:p>
    <w:p>
      <w:pPr>
        <w:pStyle w:val="Heading2"/>
      </w:pPr>
      <w:r>
        <w:t>French alliances and Odanak</w:t>
      </w:r>
    </w:p>
    <w:p>
      <w:r>
        <w:t xml:space="preserve">The French offered trade, military support and places of refuge, but also wanted Abenaki settlements to protect New France. Odanak grew through the arrival of people from several communities. Evidence places Abenaki people along the Saint-François before the later waves of refugees. Migration strengthened an existing northern connection rather than creating the entire Abenaki relationship with Quebec at one moment. </w:t>
      </w:r>
      <w:r>
        <w:rPr>
          <w:sz w:val="19"/>
        </w:rPr>
        <w:t>[21]</w:t>
      </w:r>
      <w:r/>
    </w:p>
    <w:p>
      <w:r>
        <w:t xml:space="preserve">The mission and settlement developed over several decades around the end of the seventeenth century and beginning of the eighteenth. In 1704, a fortified village was established with French assistance. Archaeological work has identified remains associated with the fort. Distinguishing the community, the mission church and the fort avoids assigning all three the same founding date. </w:t>
      </w:r>
      <w:r>
        <w:rPr>
          <w:sz w:val="19"/>
        </w:rPr>
        <w:t>[9, 21]</w:t>
      </w:r>
      <w:r/>
    </w:p>
    <w:p>
      <w:pPr>
        <w:pStyle w:val="Heading2"/>
      </w:pPr>
      <w:r>
        <w:t>Repeated imperial wars</w:t>
      </w:r>
    </w:p>
    <w:tbl>
      <w:tblPr>
        <w:tblW w:type="auto" w:w="0"/>
        <w:jc w:val="center"/>
        <w:tblLayout w:type="fixed"/>
        <w:tblLook w:firstColumn="1" w:firstRow="1" w:lastColumn="0" w:lastRow="0" w:noHBand="0" w:noVBand="1" w:val="04A0"/>
        <w:tblLayout w:type="fixed"/>
        <w:tblW w:w="9648" w:type="dxa"/>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00" w:type="dxa"/>
          <w:right w:w="100" w:type="dxa"/>
        </w:tblCellMar>
      </w:tblPr>
      <w:tblGrid>
        <w:gridCol w:w="2232"/>
        <w:gridCol w:w="2880"/>
        <w:gridCol w:w="4536"/>
      </w:tblGrid>
      <w:tr>
        <w:trPr>
          <w:cantSplit/>
          <w:tblHeader/>
        </w:trPr>
        <w:tc>
          <w:tcPr>
            <w:tcW w:type="dxa" w:w="2232"/>
            <w:vAlign w:val="center"/>
            <w:shd w:fill="E7EDF3"/>
          </w:tcPr>
          <w:p>
            <w:pPr>
              <w:keepNext/>
              <w:spacing w:after="0" w:line="254" w:lineRule="auto"/>
            </w:pPr>
            <w:r>
              <w:rPr>
                <w:rFonts w:ascii="Cambria" w:hAnsi="Cambria"/>
                <w:b/>
                <w:color w:val="000000"/>
                <w:sz w:val="21"/>
              </w:rPr>
              <w:t>Conflict</w:t>
            </w:r>
          </w:p>
        </w:tc>
        <w:tc>
          <w:tcPr>
            <w:tcW w:type="dxa" w:w="2880"/>
            <w:vAlign w:val="center"/>
            <w:shd w:fill="E7EDF3"/>
          </w:tcPr>
          <w:p>
            <w:pPr>
              <w:keepNext/>
              <w:spacing w:after="0" w:line="254" w:lineRule="auto"/>
            </w:pPr>
            <w:r>
              <w:rPr>
                <w:rFonts w:ascii="Cambria" w:hAnsi="Cambria"/>
                <w:b/>
                <w:color w:val="000000"/>
                <w:sz w:val="21"/>
              </w:rPr>
              <w:t>Dates relevant to the region</w:t>
            </w:r>
          </w:p>
        </w:tc>
        <w:tc>
          <w:tcPr>
            <w:tcW w:type="dxa" w:w="4536"/>
            <w:vAlign w:val="center"/>
            <w:shd w:fill="E7EDF3"/>
          </w:tcPr>
          <w:p>
            <w:pPr>
              <w:keepNext/>
              <w:spacing w:after="0" w:line="254" w:lineRule="auto"/>
            </w:pPr>
            <w:r>
              <w:rPr>
                <w:rFonts w:ascii="Cambria" w:hAnsi="Cambria"/>
                <w:b/>
                <w:color w:val="000000"/>
                <w:sz w:val="21"/>
              </w:rPr>
              <w:t>Abenaki history within it</w:t>
            </w:r>
          </w:p>
        </w:tc>
      </w:tr>
      <w:tr>
        <w:trPr>
          <w:cantSplit/>
        </w:trPr>
        <w:tc>
          <w:tcPr>
            <w:tcW w:type="dxa" w:w="2232"/>
            <w:vAlign w:val="center"/>
            <w:shd w:fill="FFFFFF"/>
          </w:tcPr>
          <w:p>
            <w:pPr>
              <w:keepNext w:val="0"/>
              <w:spacing w:after="0" w:line="254" w:lineRule="auto"/>
            </w:pPr>
            <w:r>
              <w:rPr>
                <w:rFonts w:ascii="Cambria" w:hAnsi="Cambria"/>
                <w:b w:val="0"/>
                <w:color w:val="000000"/>
                <w:sz w:val="21"/>
              </w:rPr>
              <w:t>King William’s War</w:t>
            </w:r>
          </w:p>
        </w:tc>
        <w:tc>
          <w:tcPr>
            <w:tcW w:type="dxa" w:w="2880"/>
            <w:vAlign w:val="center"/>
            <w:shd w:fill="FFFFFF"/>
          </w:tcPr>
          <w:p>
            <w:pPr>
              <w:keepNext w:val="0"/>
              <w:spacing w:after="0" w:line="254" w:lineRule="auto"/>
            </w:pPr>
            <w:r>
              <w:rPr>
                <w:rFonts w:ascii="Cambria" w:hAnsi="Cambria"/>
                <w:b w:val="0"/>
                <w:color w:val="000000"/>
                <w:sz w:val="21"/>
              </w:rPr>
              <w:t>1689 to 1697</w:t>
            </w:r>
          </w:p>
        </w:tc>
        <w:tc>
          <w:tcPr>
            <w:tcW w:type="dxa" w:w="4536"/>
            <w:vAlign w:val="center"/>
            <w:shd w:fill="FFFFFF"/>
          </w:tcPr>
          <w:p>
            <w:pPr>
              <w:keepNext w:val="0"/>
              <w:spacing w:after="0" w:line="254" w:lineRule="auto"/>
            </w:pPr>
            <w:r>
              <w:rPr>
                <w:rFonts w:ascii="Cambria" w:hAnsi="Cambria"/>
                <w:b w:val="0"/>
                <w:color w:val="000000"/>
                <w:sz w:val="21"/>
              </w:rPr>
              <w:t>New France and Indigenous allies fought English settlements and their allies</w:t>
            </w:r>
          </w:p>
        </w:tc>
      </w:tr>
      <w:tr>
        <w:trPr>
          <w:cantSplit/>
        </w:trPr>
        <w:tc>
          <w:tcPr>
            <w:tcW w:type="dxa" w:w="2232"/>
            <w:vAlign w:val="center"/>
            <w:shd w:fill="F7F8FA"/>
          </w:tcPr>
          <w:p>
            <w:pPr>
              <w:keepNext w:val="0"/>
              <w:spacing w:after="0" w:line="254" w:lineRule="auto"/>
            </w:pPr>
            <w:r>
              <w:rPr>
                <w:rFonts w:ascii="Cambria" w:hAnsi="Cambria"/>
                <w:b w:val="0"/>
                <w:color w:val="000000"/>
                <w:sz w:val="21"/>
              </w:rPr>
              <w:t>Queen Anne’s War</w:t>
            </w:r>
          </w:p>
        </w:tc>
        <w:tc>
          <w:tcPr>
            <w:tcW w:type="dxa" w:w="2880"/>
            <w:vAlign w:val="center"/>
            <w:shd w:fill="F7F8FA"/>
          </w:tcPr>
          <w:p>
            <w:pPr>
              <w:keepNext w:val="0"/>
              <w:spacing w:after="0" w:line="254" w:lineRule="auto"/>
            </w:pPr>
            <w:r>
              <w:rPr>
                <w:rFonts w:ascii="Cambria" w:hAnsi="Cambria"/>
                <w:b w:val="0"/>
                <w:color w:val="000000"/>
                <w:sz w:val="21"/>
              </w:rPr>
              <w:t>1702 to 1713</w:t>
            </w:r>
          </w:p>
        </w:tc>
        <w:tc>
          <w:tcPr>
            <w:tcW w:type="dxa" w:w="4536"/>
            <w:vAlign w:val="center"/>
            <w:shd w:fill="F7F8FA"/>
          </w:tcPr>
          <w:p>
            <w:pPr>
              <w:keepNext w:val="0"/>
              <w:spacing w:after="0" w:line="254" w:lineRule="auto"/>
            </w:pPr>
            <w:r>
              <w:rPr>
                <w:rFonts w:ascii="Cambria" w:hAnsi="Cambria"/>
                <w:b w:val="0"/>
                <w:color w:val="000000"/>
                <w:sz w:val="21"/>
              </w:rPr>
              <w:t>Raiding, captivity and renewed pressure on communities across the borderlands</w:t>
            </w:r>
          </w:p>
        </w:tc>
      </w:tr>
      <w:tr>
        <w:trPr>
          <w:cantSplit/>
        </w:trPr>
        <w:tc>
          <w:tcPr>
            <w:tcW w:type="dxa" w:w="2232"/>
            <w:vAlign w:val="center"/>
            <w:shd w:fill="FFFFFF"/>
          </w:tcPr>
          <w:p>
            <w:pPr>
              <w:keepNext w:val="0"/>
              <w:spacing w:after="0" w:line="254" w:lineRule="auto"/>
            </w:pPr>
            <w:r>
              <w:rPr>
                <w:rFonts w:ascii="Cambria" w:hAnsi="Cambria"/>
                <w:b w:val="0"/>
                <w:color w:val="000000"/>
                <w:sz w:val="21"/>
              </w:rPr>
              <w:t>Dummer’s War and related western fighting</w:t>
            </w:r>
          </w:p>
        </w:tc>
        <w:tc>
          <w:tcPr>
            <w:tcW w:type="dxa" w:w="2880"/>
            <w:vAlign w:val="center"/>
            <w:shd w:fill="FFFFFF"/>
          </w:tcPr>
          <w:p>
            <w:pPr>
              <w:keepNext w:val="0"/>
              <w:spacing w:after="0" w:line="254" w:lineRule="auto"/>
            </w:pPr>
            <w:r>
              <w:rPr>
                <w:rFonts w:ascii="Cambria" w:hAnsi="Cambria"/>
                <w:b w:val="0"/>
                <w:color w:val="000000"/>
                <w:sz w:val="21"/>
              </w:rPr>
              <w:t>1722 through the mid 1720s, with western resistance continuing into 1727</w:t>
            </w:r>
          </w:p>
        </w:tc>
        <w:tc>
          <w:tcPr>
            <w:tcW w:type="dxa" w:w="4536"/>
            <w:vAlign w:val="center"/>
            <w:shd w:fill="FFFFFF"/>
          </w:tcPr>
          <w:p>
            <w:pPr>
              <w:keepNext w:val="0"/>
              <w:spacing w:after="0" w:line="254" w:lineRule="auto"/>
            </w:pPr>
            <w:r>
              <w:rPr>
                <w:rFonts w:ascii="Cambria" w:hAnsi="Cambria"/>
                <w:b w:val="0"/>
                <w:color w:val="000000"/>
                <w:sz w:val="21"/>
              </w:rPr>
              <w:t>Struggle over settlement, land and political authority</w:t>
            </w:r>
          </w:p>
        </w:tc>
      </w:tr>
      <w:tr>
        <w:trPr>
          <w:cantSplit/>
        </w:trPr>
        <w:tc>
          <w:tcPr>
            <w:tcW w:type="dxa" w:w="2232"/>
            <w:vAlign w:val="center"/>
            <w:shd w:fill="F7F8FA"/>
          </w:tcPr>
          <w:p>
            <w:pPr>
              <w:keepNext w:val="0"/>
              <w:spacing w:after="0" w:line="254" w:lineRule="auto"/>
            </w:pPr>
            <w:r>
              <w:rPr>
                <w:rFonts w:ascii="Cambria" w:hAnsi="Cambria"/>
                <w:b w:val="0"/>
                <w:color w:val="000000"/>
                <w:sz w:val="21"/>
              </w:rPr>
              <w:t>King George’s War</w:t>
            </w:r>
          </w:p>
        </w:tc>
        <w:tc>
          <w:tcPr>
            <w:tcW w:type="dxa" w:w="2880"/>
            <w:vAlign w:val="center"/>
            <w:shd w:fill="F7F8FA"/>
          </w:tcPr>
          <w:p>
            <w:pPr>
              <w:keepNext w:val="0"/>
              <w:spacing w:after="0" w:line="254" w:lineRule="auto"/>
            </w:pPr>
            <w:r>
              <w:rPr>
                <w:rFonts w:ascii="Cambria" w:hAnsi="Cambria"/>
                <w:b w:val="0"/>
                <w:color w:val="000000"/>
                <w:sz w:val="21"/>
              </w:rPr>
              <w:t>1744 to 1748</w:t>
            </w:r>
          </w:p>
        </w:tc>
        <w:tc>
          <w:tcPr>
            <w:tcW w:type="dxa" w:w="4536"/>
            <w:vAlign w:val="center"/>
            <w:shd w:fill="F7F8FA"/>
          </w:tcPr>
          <w:p>
            <w:pPr>
              <w:keepNext w:val="0"/>
              <w:spacing w:after="0" w:line="254" w:lineRule="auto"/>
            </w:pPr>
            <w:r>
              <w:rPr>
                <w:rFonts w:ascii="Cambria" w:hAnsi="Cambria"/>
                <w:b w:val="0"/>
                <w:color w:val="000000"/>
                <w:sz w:val="21"/>
              </w:rPr>
              <w:t>Renewed fighting on the northern New England frontier</w:t>
            </w:r>
          </w:p>
        </w:tc>
      </w:tr>
      <w:tr>
        <w:trPr>
          <w:cantSplit/>
        </w:trPr>
        <w:tc>
          <w:tcPr>
            <w:tcW w:type="dxa" w:w="2232"/>
            <w:vAlign w:val="center"/>
            <w:shd w:fill="FFFFFF"/>
          </w:tcPr>
          <w:p>
            <w:pPr>
              <w:keepNext w:val="0"/>
              <w:spacing w:after="0" w:line="254" w:lineRule="auto"/>
            </w:pPr>
            <w:r>
              <w:rPr>
                <w:rFonts w:ascii="Cambria" w:hAnsi="Cambria"/>
                <w:b w:val="0"/>
                <w:color w:val="000000"/>
                <w:sz w:val="21"/>
              </w:rPr>
              <w:t>French and Indian War</w:t>
            </w:r>
          </w:p>
        </w:tc>
        <w:tc>
          <w:tcPr>
            <w:tcW w:type="dxa" w:w="2880"/>
            <w:vAlign w:val="center"/>
            <w:shd w:fill="FFFFFF"/>
          </w:tcPr>
          <w:p>
            <w:pPr>
              <w:keepNext w:val="0"/>
              <w:spacing w:after="0" w:line="254" w:lineRule="auto"/>
            </w:pPr>
            <w:r>
              <w:rPr>
                <w:rFonts w:ascii="Cambria" w:hAnsi="Cambria"/>
                <w:b w:val="0"/>
                <w:color w:val="000000"/>
                <w:sz w:val="21"/>
              </w:rPr>
              <w:t>1754 to 1763</w:t>
            </w:r>
          </w:p>
        </w:tc>
        <w:tc>
          <w:tcPr>
            <w:tcW w:type="dxa" w:w="4536"/>
            <w:vAlign w:val="center"/>
            <w:shd w:fill="FFFFFF"/>
          </w:tcPr>
          <w:p>
            <w:pPr>
              <w:keepNext w:val="0"/>
              <w:spacing w:after="0" w:line="254" w:lineRule="auto"/>
            </w:pPr>
            <w:r>
              <w:rPr>
                <w:rFonts w:ascii="Cambria" w:hAnsi="Cambria"/>
                <w:b w:val="0"/>
                <w:color w:val="000000"/>
                <w:sz w:val="21"/>
              </w:rPr>
              <w:t>British conquest of New France and the destruction of Odanak in 1759</w:t>
            </w:r>
          </w:p>
        </w:tc>
      </w:tr>
    </w:tbl>
    <w:p>
      <w:pPr>
        <w:spacing w:before="0" w:after="40" w:line="80" w:lineRule="exact"/>
      </w:pPr>
      <w:r>
        <w:rPr>
          <w:sz w:val="6"/>
        </w:rPr>
      </w:r>
    </w:p>
    <w:p>
      <w:r>
        <w:t xml:space="preserve">These are conventional English names and dates. Fighting did not always begin or stop with European declarations and treaties. Abenaki land disputes could continue during formal peace between Britain and France. </w:t>
      </w:r>
      <w:r>
        <w:rPr>
          <w:sz w:val="19"/>
        </w:rPr>
        <w:t>[19, 23, 24]</w:t>
      </w:r>
      <w:r/>
    </w:p>
    <w:p>
      <w:r>
        <w:t xml:space="preserve">The raid on Deerfield on February 29, 1704 illustrates the interlocking nature of these wars. French soldiers and Indigenous warriors, including men connected with Odanak, attacked the Massachusetts settlement. Residents were killed and more than one hundred were taken captive. The attackers had different community ties and motives. Captives likewise faced different outcomes, including ransom, adoption and continued separation from their families. </w:t>
      </w:r>
      <w:r>
        <w:rPr>
          <w:sz w:val="19"/>
        </w:rPr>
        <w:t>[23]</w:t>
      </w:r>
      <w:r/>
    </w:p>
    <w:p>
      <w:r>
        <w:t xml:space="preserve">The Treaty of Utrecht ended Queen Anne’s War in 1713, but European agreements did not settle whose land the Abenaki considered theirs or who could authorize its use. Jesuit and colonial correspondence from the following decade records continued conflict over English settlement. These documents also reveal French officials encouraging resistance while weighing how openly they should support it. </w:t>
      </w:r>
      <w:r>
        <w:rPr>
          <w:sz w:val="19"/>
        </w:rPr>
        <w:t>[22]</w:t>
      </w:r>
      <w:r/>
    </w:p>
    <w:p>
      <w:pPr>
        <w:pStyle w:val="Heading2"/>
      </w:pPr>
      <w:r>
        <w:t>Norridgewock and western resistance</w:t>
      </w:r>
    </w:p>
    <w:p>
      <w:r>
        <w:t xml:space="preserve">Norridgewock, also called Narantsouak in historical sources, was an Abenaki community on the Kennebec River. Its residents resisted English encroachment and maintained French and Catholic connections. The missionary Sébastien Rale became a particular target of Massachusetts authorities, who associated him with French influence. On August 23, 1724, a colonial force attacked the village, killed Rale and many residents and destroyed the settlement. </w:t>
      </w:r>
      <w:r>
        <w:rPr>
          <w:sz w:val="19"/>
        </w:rPr>
        <w:t>[24]</w:t>
      </w:r>
      <w:r/>
    </w:p>
    <w:p>
      <w:r>
        <w:t xml:space="preserve">This attack is often told through the death of the priest. The Abenaki residents and their struggle to preserve their community belong at the center of the event as well. Surviving families and their descendants continued in other places. The destruction of a village did not mean the disappearance of every person associated with it. </w:t>
      </w:r>
      <w:r>
        <w:rPr>
          <w:sz w:val="19"/>
        </w:rPr>
        <w:t>[24, 3]</w:t>
      </w:r>
      <w:r/>
    </w:p>
    <w:p>
      <w:r>
        <w:t xml:space="preserve">In the west, the leader known in English as Gray Lock or Grey Lock used Missisquoi as a base for attacks against colonial settlements in the Connecticut Valley. Calloway identifies him as probably of Woronoco origin. His resistance continued when other communities pursued peace. His career demonstrates the limits of treating one agreement or one leader as representative of all Abenaki people. </w:t>
      </w:r>
      <w:r>
        <w:rPr>
          <w:sz w:val="19"/>
        </w:rPr>
        <w:t>[23]</w:t>
      </w:r>
      <w:r/>
    </w:p>
    <w:p>
      <w:pPr>
        <w:pStyle w:val="Heading1"/>
      </w:pPr>
      <w:r>
        <w:t>10 The destruction of Odanak in 1759</w:t>
      </w:r>
    </w:p>
    <w:p>
      <w:r>
        <w:t xml:space="preserve">On October 4, 1759, Robert Rogers’s Rangers attacked Odanak during the French and Indian War. General Jeffery Amherst had ordered a punitive expedition after repeated frontier attacks and the capture of British officers. The raiders killed inhabitants, looted supplies and burned the village, including the mission buildings and stored food. </w:t>
      </w:r>
      <w:r>
        <w:rPr>
          <w:sz w:val="19"/>
        </w:rPr>
        <w:t>[25]</w:t>
      </w:r>
      <w:r/>
    </w:p>
    <w:p>
      <w:r>
        <w:t xml:space="preserve">Accounts differ sharply over the death toll. Rogers claimed about 200 Abenaki deaths; French reports gave about 30. The museum presents the discrepancy rather than treating either figure as certain. The commander had reasons to emphasize the success of his expedition, while French reporting also came from a party to the war. These numbers should remain attributed estimates. </w:t>
      </w:r>
      <w:r>
        <w:rPr>
          <w:sz w:val="19"/>
        </w:rPr>
        <w:t>[25]</w:t>
      </w:r>
      <w:r/>
    </w:p>
    <w:p>
      <w:r>
        <w:t xml:space="preserve">In 1957, Elvine Obomsawin Royce told Gordon Day an account learned through her aunt Mali Msadokwes, whose grandmother had lived at Odanak during the attack. It describes people receiving warning during an autumn celebration. This later recorded tradition has a stated chain of transmission. It provides a family perspective for comparison with military reports. </w:t>
      </w:r>
      <w:r>
        <w:rPr>
          <w:sz w:val="19"/>
        </w:rPr>
        <w:t>[26]</w:t>
      </w:r>
      <w:r/>
    </w:p>
    <w:p>
      <w:r>
        <w:t xml:space="preserve">Odanak was rebuilt in 1760. Its reconstruction is essential to the event’s history. A study that ends with the burning leaves out the decisions and labor of the people who continued the community. </w:t>
      </w:r>
      <w:r>
        <w:rPr>
          <w:sz w:val="19"/>
        </w:rPr>
        <w:t>[27]</w:t>
      </w:r>
      <w:r/>
    </w:p>
    <w:p>
      <w:pPr>
        <w:pStyle w:val="Heading1"/>
      </w:pPr>
      <w:r>
        <w:t>11 British rule and the American Revolution</w:t>
      </w:r>
    </w:p>
    <w:p>
      <w:r>
        <w:t xml:space="preserve">The British conquest of New France changed Abenaki diplomatic options. France’s defeat removed an important partner. British authorities increasingly promoted policies intended to make Indigenous communities conform to European ideas of settlement, work and religion. These policies developed over time and did not immediately replace every earlier relationship or practice. </w:t>
      </w:r>
      <w:r>
        <w:rPr>
          <w:sz w:val="19"/>
        </w:rPr>
        <w:t>[27]</w:t>
      </w:r>
      <w:r/>
    </w:p>
    <w:p>
      <w:r>
        <w:t xml:space="preserve">The American Revolution created another dangerous choice. Colin Calloway’s published chapter summary describes Odanak as caught between British Quebec and the Americans to the south. People did not agree on one course. Abenaki individuals served on both sides, while many sought to protect their community from the war. Neutrality itself could provoke suspicion when each side expected military assistance. </w:t>
      </w:r>
      <w:r>
        <w:rPr>
          <w:sz w:val="19"/>
        </w:rPr>
        <w:t>[28]</w:t>
      </w:r>
      <w:r/>
    </w:p>
    <w:p>
      <w:r>
        <w:t xml:space="preserve">This situation should not be read simply as indecision. Different families could judge different forms of limited cooperation necessary for survival. Their decisions also reflected connections that crossed the new political divide. The British and Americans interpreted loyalty through their own war aims, while Abenaki people had community obligations that neither power controlled. This interpretation follows the dilemma described in Calloway’s summary; the full chapter requires separate access. </w:t>
      </w:r>
      <w:r>
        <w:rPr>
          <w:sz w:val="19"/>
        </w:rPr>
        <w:t>[28]</w:t>
      </w:r>
      <w:r/>
    </w:p>
    <w:p>
      <w:r>
        <w:t xml:space="preserve">The creation of an international border did not erase older relationships. Abenaki people continued to live and work on both sides. Later examples of basket selling, family visits and employment make that continuity visible without requiring the claim that all families had the same experience. </w:t>
      </w:r>
      <w:r>
        <w:rPr>
          <w:sz w:val="19"/>
        </w:rPr>
        <w:t>[26, 40]</w:t>
      </w:r>
      <w:r/>
    </w:p>
    <w:p>
      <w:pPr>
        <w:pStyle w:val="Heading1"/>
      </w:pPr>
      <w:r>
        <w:t>12 Livelihood and family continuity in the nineteenth century</w:t>
      </w:r>
    </w:p>
    <w:p>
      <w:r>
        <w:t xml:space="preserve">The nineteenth century brought changes in markets and work. Ash and sweetgrass basketry became a major source of Abenaki income. Families made baskets during the winter and traveled to the United States to sell them in summer. Quebec’s historical profile describes merchants later coming directly to Odanak to purchase products and supply materials, changing the pattern of seasonal selling trips. </w:t>
      </w:r>
      <w:r>
        <w:rPr>
          <w:sz w:val="19"/>
        </w:rPr>
        <w:t>[40]</w:t>
      </w:r>
      <w:r/>
    </w:p>
    <w:p>
      <w:r>
        <w:t xml:space="preserve">Joseph Laurent’s camp and trading post at Intervale, New Hampshire, established in 1884, is one specific example of that cross border economy. His commercial work and language publication belonged to the same lifetime. He could participate in the tourist market while also working to transmit Abenaki knowledge. Treating one activity as modern and the other as traditional would conceal how they supported the same families. </w:t>
      </w:r>
      <w:r>
        <w:rPr>
          <w:sz w:val="19"/>
        </w:rPr>
        <w:t>[13]</w:t>
      </w:r>
      <w:r/>
    </w:p>
    <w:p>
      <w:r>
        <w:t xml:space="preserve">The Obomsawin family documents continuity between Odanak and Vermont. Simon Obomsawin, born at Odanak, became caretaker at Thompson’s Point on Lake Champlain in 1890. His family made and sold baskets. Relatives at Odanak helped raise his children. The Vermont Historical Society follows these named relationships and their transmitted knowledge. </w:t>
      </w:r>
      <w:r>
        <w:rPr>
          <w:sz w:val="19"/>
        </w:rPr>
        <w:t>[26]</w:t>
      </w:r>
      <w:r/>
    </w:p>
    <w:p>
      <w:r>
        <w:t>Such cases matter because general statements about disappearance are too crude. Named people, employment records, kinship and language evidence allow historians to identify continuity more precisely. At the same time, evidence for one family cannot automatically establish the ancestry or political continuity of every later organization that claims the same regional history.</w:t>
      </w:r>
    </w:p>
    <w:p>
      <w:pPr>
        <w:pStyle w:val="Heading1"/>
      </w:pPr>
      <w:r>
        <w:t>13 Assimilation law and schooling</w:t>
      </w:r>
    </w:p>
    <w:p>
      <w:r>
        <w:t xml:space="preserve">Canadian law increasingly gave the state power over Indigenous land, governance and legal status. The Indian Act of 1876 became a central instrument of that control. Official categories could determine access to rights and services while interfering with community authority. The difference between a person’s legal status and their family relationships is therefore part of Abenaki history, rather than a technical detail outside it. </w:t>
      </w:r>
      <w:r>
        <w:rPr>
          <w:sz w:val="19"/>
        </w:rPr>
        <w:t>[27, 29]</w:t>
      </w:r>
      <w:r/>
    </w:p>
    <w:p>
      <w:r>
        <w:t xml:space="preserve">Sex discrimination had lasting consequences. Under the historical marrying out rule, a First Nations woman who married a man without Indian status could lose her own entitlement, with effects on her descendants. Men and women were treated differently. The Canadian government’s 2020 report explains later reforms, including changes implemented in 2017 and 2019, while acknowledging continuing effects of past exclusion. This study does not treat that report’s assessment of reforms as a statement that every later registration or membership dispute has been resolved. </w:t>
      </w:r>
      <w:r>
        <w:rPr>
          <w:sz w:val="19"/>
        </w:rPr>
        <w:t>[29]</w:t>
      </w:r>
      <w:r/>
    </w:p>
    <w:p>
      <w:r>
        <w:t xml:space="preserve">Schooling could also separate children from their language and community. Abenaki involvement in the United States boarding school system is documented in individual records. Flora Sadie Masta entered Carlisle on October 29, 1909 and finally left on July 29, 1913, with interruptions in attendance. Dickinson College’s archive makes her student file available, including enrollment, health, conduct and work placement records. </w:t>
      </w:r>
      <w:r>
        <w:rPr>
          <w:sz w:val="19"/>
        </w:rPr>
        <w:t>[30]</w:t>
      </w:r>
      <w:r/>
    </w:p>
    <w:p>
      <w:r>
        <w:t xml:space="preserve">Those records must be read from more than the school’s point of view. Administrative descriptions show what the institution measured and expected. They do not provide a complete account of a child’s feelings or family choices. Flora Masta’s separate contribution to linguistic research at Carlisle also shows that Abenaki knowledge remained present within an institution associated with assimilation. </w:t>
      </w:r>
      <w:r>
        <w:rPr>
          <w:sz w:val="19"/>
        </w:rPr>
        <w:t>[30, 31]</w:t>
      </w:r>
      <w:r/>
    </w:p>
    <w:p>
      <w:pPr>
        <w:pStyle w:val="Heading2"/>
      </w:pPr>
      <w:r>
        <w:t>Vermont eugenics and the limits of the evidence</w:t>
      </w:r>
    </w:p>
    <w:p>
      <w:r>
        <w:t xml:space="preserve">The Vermont Eugenics Survey operated from 1925 to 1936 under University of Vermont professor Henry F. Perkins. Vermont enacted a sterilization law in 1931. The survey used discredited ideas about heredity to classify people and families. These events are documented independently of the present debate about Abenaki recognition. </w:t>
      </w:r>
      <w:r>
        <w:rPr>
          <w:sz w:val="19"/>
        </w:rPr>
        <w:t>[32]</w:t>
      </w:r>
      <w:r/>
    </w:p>
    <w:p>
      <w:r>
        <w:t xml:space="preserve">Some Vermont organizations and supporters explain gaps in Abenaki records through concealment in response to persecution, including eugenics. Jeanne Morningstar Kent’s published response presents this position and challenges critics of Vermont recognition. It is a participant’s position essay, not a peer reviewed finding, and Kent states that it represents her own views. </w:t>
      </w:r>
      <w:r>
        <w:rPr>
          <w:sz w:val="19"/>
        </w:rPr>
        <w:t>[37]</w:t>
      </w:r>
      <w:r/>
    </w:p>
    <w:p>
      <w:r>
        <w:t xml:space="preserve">Darryl Leroux’s peer reviewed research disputes the claim that the eugenics evidence establishes the Abenaki ancestry of the principal families in the Vermont movement. He identifies many as descendants of French Canadian immigrants. His account also challenges the assertion that the surviving eugenics archive demonstrates a program specifically targeting those families as Abenaki. These conclusions should be attributed to his research and compared with the underlying records. </w:t>
      </w:r>
      <w:r>
        <w:rPr>
          <w:sz w:val="19"/>
        </w:rPr>
        <w:t>[35]</w:t>
      </w:r>
      <w:r/>
    </w:p>
    <w:p>
      <w:r>
        <w:t xml:space="preserve">The necessary distinction is between a documented coercive program and a disputed explanation of particular families’ ancestry and treatment within it. A general history of racism does not establish every specific genealogical claim. A disputed genealogy likewise does not make Vermont’s eugenics program or its harms imaginary. Each question needs its own evidence. </w:t>
      </w:r>
      <w:r>
        <w:rPr>
          <w:sz w:val="19"/>
        </w:rPr>
        <w:t>[32, 35, 37]</w:t>
      </w:r>
      <w:r/>
    </w:p>
    <w:p>
      <w:pPr>
        <w:pStyle w:val="Heading1"/>
      </w:pPr>
      <w:r>
        <w:t>14 Communities recognition and the present dispute</w:t>
      </w:r>
    </w:p>
    <w:p>
      <w:r>
        <w:t xml:space="preserve">Odanak and Wôlinak are the two Abenaki First Nations communities in Quebec. Their members include many people who live elsewhere. Their histories and institutions are central to any account of the Abenaki today. They should not be treated as an unrelated Canadian population simply because an international border now crosses the older homeland. </w:t>
      </w:r>
      <w:r>
        <w:rPr>
          <w:sz w:val="19"/>
        </w:rPr>
        <w:t>[4, 39]</w:t>
      </w:r>
      <w:r/>
    </w:p>
    <w:p>
      <w:r>
        <w:t xml:space="preserve">Wôlinak has its own history on the Bécancour River. Quebec’s Commission de toponymie identifies an early form of its name in correspondence from 1704 and a land grant for the settlement in 1708. The community was long called Bécancour in outside records and officially resumed the name Wôlinak in 1984. This local sequence deserves attention alongside the better known story of Odanak. </w:t>
      </w:r>
      <w:r>
        <w:rPr>
          <w:sz w:val="19"/>
        </w:rPr>
        <w:t>[51]</w:t>
      </w:r>
      <w:r/>
    </w:p>
    <w:p>
      <w:r>
        <w:t xml:space="preserve">Quebec’s population table dated December 31, 2025 reports the following figures. These are administrative community population counts, not a worldwide census of everyone with Abenaki ancestry or identity. </w:t>
      </w:r>
      <w:r>
        <w:rPr>
          <w:sz w:val="19"/>
        </w:rPr>
        <w:t>[39]</w:t>
      </w:r>
      <w:r/>
    </w:p>
    <w:tbl>
      <w:tblPr>
        <w:tblW w:type="auto" w:w="0"/>
        <w:jc w:val="center"/>
        <w:tblLayout w:type="fixed"/>
        <w:tblLook w:firstColumn="1" w:firstRow="1" w:lastColumn="0" w:lastRow="0" w:noHBand="0" w:noVBand="1" w:val="04A0"/>
        <w:tblLayout w:type="fixed"/>
        <w:tblW w:w="9648" w:type="dxa"/>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00" w:type="dxa"/>
          <w:right w:w="100" w:type="dxa"/>
        </w:tblCellMar>
      </w:tblPr>
      <w:tblGrid>
        <w:gridCol w:w="3168"/>
        <w:gridCol w:w="2016"/>
        <w:gridCol w:w="2160"/>
        <w:gridCol w:w="2304"/>
      </w:tblGrid>
      <w:tr>
        <w:trPr>
          <w:cantSplit/>
          <w:tblHeader/>
        </w:trPr>
        <w:tc>
          <w:tcPr>
            <w:tcW w:type="dxa" w:w="3168"/>
            <w:vAlign w:val="center"/>
            <w:shd w:fill="E7EDF3"/>
          </w:tcPr>
          <w:p>
            <w:pPr>
              <w:keepNext/>
              <w:spacing w:after="0" w:line="254" w:lineRule="auto"/>
            </w:pPr>
            <w:r>
              <w:rPr>
                <w:rFonts w:ascii="Cambria" w:hAnsi="Cambria"/>
                <w:b/>
                <w:color w:val="000000"/>
                <w:sz w:val="21"/>
              </w:rPr>
              <w:t>Community</w:t>
            </w:r>
          </w:p>
        </w:tc>
        <w:tc>
          <w:tcPr>
            <w:tcW w:type="dxa" w:w="2016"/>
            <w:vAlign w:val="center"/>
            <w:shd w:fill="E7EDF3"/>
          </w:tcPr>
          <w:p>
            <w:pPr>
              <w:keepNext/>
              <w:spacing w:after="0" w:line="254" w:lineRule="auto"/>
              <w:jc w:val="center"/>
            </w:pPr>
            <w:r>
              <w:rPr>
                <w:rFonts w:ascii="Cambria" w:hAnsi="Cambria"/>
                <w:b/>
                <w:color w:val="000000"/>
                <w:sz w:val="21"/>
              </w:rPr>
              <w:t>Residents</w:t>
            </w:r>
          </w:p>
        </w:tc>
        <w:tc>
          <w:tcPr>
            <w:tcW w:type="dxa" w:w="2160"/>
            <w:vAlign w:val="center"/>
            <w:shd w:fill="E7EDF3"/>
          </w:tcPr>
          <w:p>
            <w:pPr>
              <w:keepNext/>
              <w:spacing w:after="0" w:line="254" w:lineRule="auto"/>
              <w:jc w:val="center"/>
            </w:pPr>
            <w:r>
              <w:rPr>
                <w:rFonts w:ascii="Cambria" w:hAnsi="Cambria"/>
                <w:b/>
                <w:color w:val="000000"/>
                <w:sz w:val="21"/>
              </w:rPr>
              <w:t>Nonresidents</w:t>
            </w:r>
          </w:p>
        </w:tc>
        <w:tc>
          <w:tcPr>
            <w:tcW w:type="dxa" w:w="2304"/>
            <w:vAlign w:val="center"/>
            <w:shd w:fill="E7EDF3"/>
          </w:tcPr>
          <w:p>
            <w:pPr>
              <w:keepNext/>
              <w:spacing w:after="0" w:line="254" w:lineRule="auto"/>
              <w:jc w:val="center"/>
            </w:pPr>
            <w:r>
              <w:rPr>
                <w:rFonts w:ascii="Cambria" w:hAnsi="Cambria"/>
                <w:b/>
                <w:color w:val="000000"/>
                <w:sz w:val="21"/>
              </w:rPr>
              <w:t>Total</w:t>
            </w:r>
          </w:p>
        </w:tc>
      </w:tr>
      <w:tr>
        <w:trPr>
          <w:cantSplit/>
        </w:trPr>
        <w:tc>
          <w:tcPr>
            <w:tcW w:type="dxa" w:w="3168"/>
            <w:vAlign w:val="center"/>
            <w:shd w:fill="FFFFFF"/>
          </w:tcPr>
          <w:p>
            <w:pPr>
              <w:keepNext w:val="0"/>
              <w:spacing w:after="0" w:line="254" w:lineRule="auto"/>
            </w:pPr>
            <w:r>
              <w:rPr>
                <w:rFonts w:ascii="Cambria" w:hAnsi="Cambria"/>
                <w:b w:val="0"/>
                <w:color w:val="000000"/>
                <w:sz w:val="21"/>
              </w:rPr>
              <w:t>Odanak</w:t>
            </w:r>
          </w:p>
        </w:tc>
        <w:tc>
          <w:tcPr>
            <w:tcW w:type="dxa" w:w="2016"/>
            <w:vAlign w:val="center"/>
            <w:shd w:fill="FFFFFF"/>
          </w:tcPr>
          <w:p>
            <w:pPr>
              <w:keepNext w:val="0"/>
              <w:spacing w:after="0" w:line="254" w:lineRule="auto"/>
              <w:jc w:val="center"/>
            </w:pPr>
            <w:r>
              <w:rPr>
                <w:rFonts w:ascii="Cambria" w:hAnsi="Cambria"/>
                <w:b w:val="0"/>
                <w:color w:val="000000"/>
                <w:sz w:val="21"/>
              </w:rPr>
              <w:t>278</w:t>
            </w:r>
          </w:p>
        </w:tc>
        <w:tc>
          <w:tcPr>
            <w:tcW w:type="dxa" w:w="2160"/>
            <w:vAlign w:val="center"/>
            <w:shd w:fill="FFFFFF"/>
          </w:tcPr>
          <w:p>
            <w:pPr>
              <w:keepNext w:val="0"/>
              <w:spacing w:after="0" w:line="254" w:lineRule="auto"/>
              <w:jc w:val="center"/>
            </w:pPr>
            <w:r>
              <w:rPr>
                <w:rFonts w:ascii="Cambria" w:hAnsi="Cambria"/>
                <w:b w:val="0"/>
                <w:color w:val="000000"/>
                <w:sz w:val="21"/>
              </w:rPr>
              <w:t>2,931</w:t>
            </w:r>
          </w:p>
        </w:tc>
        <w:tc>
          <w:tcPr>
            <w:tcW w:type="dxa" w:w="2304"/>
            <w:vAlign w:val="center"/>
            <w:shd w:fill="FFFFFF"/>
          </w:tcPr>
          <w:p>
            <w:pPr>
              <w:keepNext w:val="0"/>
              <w:spacing w:after="0" w:line="254" w:lineRule="auto"/>
              <w:jc w:val="center"/>
            </w:pPr>
            <w:r>
              <w:rPr>
                <w:rFonts w:ascii="Cambria" w:hAnsi="Cambria"/>
                <w:b w:val="0"/>
                <w:color w:val="000000"/>
                <w:sz w:val="21"/>
              </w:rPr>
              <w:t>3,209</w:t>
            </w:r>
          </w:p>
        </w:tc>
      </w:tr>
      <w:tr>
        <w:trPr>
          <w:cantSplit/>
        </w:trPr>
        <w:tc>
          <w:tcPr>
            <w:tcW w:type="dxa" w:w="3168"/>
            <w:vAlign w:val="center"/>
            <w:shd w:fill="F7F8FA"/>
          </w:tcPr>
          <w:p>
            <w:pPr>
              <w:keepNext w:val="0"/>
              <w:spacing w:after="0" w:line="254" w:lineRule="auto"/>
            </w:pPr>
            <w:r>
              <w:rPr>
                <w:rFonts w:ascii="Cambria" w:hAnsi="Cambria"/>
                <w:b w:val="0"/>
                <w:color w:val="000000"/>
                <w:sz w:val="21"/>
              </w:rPr>
              <w:t>Wôlinak</w:t>
            </w:r>
          </w:p>
        </w:tc>
        <w:tc>
          <w:tcPr>
            <w:tcW w:type="dxa" w:w="2016"/>
            <w:vAlign w:val="center"/>
            <w:shd w:fill="F7F8FA"/>
          </w:tcPr>
          <w:p>
            <w:pPr>
              <w:keepNext w:val="0"/>
              <w:spacing w:after="0" w:line="254" w:lineRule="auto"/>
              <w:jc w:val="center"/>
            </w:pPr>
            <w:r>
              <w:rPr>
                <w:rFonts w:ascii="Cambria" w:hAnsi="Cambria"/>
                <w:b w:val="0"/>
                <w:color w:val="000000"/>
                <w:sz w:val="21"/>
              </w:rPr>
              <w:t>122</w:t>
            </w:r>
          </w:p>
        </w:tc>
        <w:tc>
          <w:tcPr>
            <w:tcW w:type="dxa" w:w="2160"/>
            <w:vAlign w:val="center"/>
            <w:shd w:fill="F7F8FA"/>
          </w:tcPr>
          <w:p>
            <w:pPr>
              <w:keepNext w:val="0"/>
              <w:spacing w:after="0" w:line="254" w:lineRule="auto"/>
              <w:jc w:val="center"/>
            </w:pPr>
            <w:r>
              <w:rPr>
                <w:rFonts w:ascii="Cambria" w:hAnsi="Cambria"/>
                <w:b w:val="0"/>
                <w:color w:val="000000"/>
                <w:sz w:val="21"/>
              </w:rPr>
              <w:t>624</w:t>
            </w:r>
          </w:p>
        </w:tc>
        <w:tc>
          <w:tcPr>
            <w:tcW w:type="dxa" w:w="2304"/>
            <w:vAlign w:val="center"/>
            <w:shd w:fill="F7F8FA"/>
          </w:tcPr>
          <w:p>
            <w:pPr>
              <w:keepNext w:val="0"/>
              <w:spacing w:after="0" w:line="254" w:lineRule="auto"/>
              <w:jc w:val="center"/>
            </w:pPr>
            <w:r>
              <w:rPr>
                <w:rFonts w:ascii="Cambria" w:hAnsi="Cambria"/>
                <w:b w:val="0"/>
                <w:color w:val="000000"/>
                <w:sz w:val="21"/>
              </w:rPr>
              <w:t>746</w:t>
            </w:r>
          </w:p>
        </w:tc>
      </w:tr>
      <w:tr>
        <w:trPr>
          <w:cantSplit/>
        </w:trPr>
        <w:tc>
          <w:tcPr>
            <w:tcW w:type="dxa" w:w="3168"/>
            <w:vAlign w:val="center"/>
            <w:shd w:fill="FFFFFF"/>
          </w:tcPr>
          <w:p>
            <w:pPr>
              <w:keepNext w:val="0"/>
              <w:spacing w:after="0" w:line="254" w:lineRule="auto"/>
            </w:pPr>
            <w:r>
              <w:rPr>
                <w:rFonts w:ascii="Cambria" w:hAnsi="Cambria"/>
                <w:b w:val="0"/>
                <w:color w:val="000000"/>
                <w:sz w:val="21"/>
              </w:rPr>
              <w:t>Combined</w:t>
            </w:r>
          </w:p>
        </w:tc>
        <w:tc>
          <w:tcPr>
            <w:tcW w:type="dxa" w:w="2016"/>
            <w:vAlign w:val="center"/>
            <w:shd w:fill="FFFFFF"/>
          </w:tcPr>
          <w:p>
            <w:pPr>
              <w:keepNext w:val="0"/>
              <w:spacing w:after="0" w:line="254" w:lineRule="auto"/>
              <w:jc w:val="center"/>
            </w:pPr>
            <w:r>
              <w:rPr>
                <w:rFonts w:ascii="Cambria" w:hAnsi="Cambria"/>
                <w:b w:val="0"/>
                <w:color w:val="000000"/>
                <w:sz w:val="21"/>
              </w:rPr>
              <w:t>400</w:t>
            </w:r>
          </w:p>
        </w:tc>
        <w:tc>
          <w:tcPr>
            <w:tcW w:type="dxa" w:w="2160"/>
            <w:vAlign w:val="center"/>
            <w:shd w:fill="FFFFFF"/>
          </w:tcPr>
          <w:p>
            <w:pPr>
              <w:keepNext w:val="0"/>
              <w:spacing w:after="0" w:line="254" w:lineRule="auto"/>
              <w:jc w:val="center"/>
            </w:pPr>
            <w:r>
              <w:rPr>
                <w:rFonts w:ascii="Cambria" w:hAnsi="Cambria"/>
                <w:b w:val="0"/>
                <w:color w:val="000000"/>
                <w:sz w:val="21"/>
              </w:rPr>
              <w:t>3,555</w:t>
            </w:r>
          </w:p>
        </w:tc>
        <w:tc>
          <w:tcPr>
            <w:tcW w:type="dxa" w:w="2304"/>
            <w:vAlign w:val="center"/>
            <w:shd w:fill="FFFFFF"/>
          </w:tcPr>
          <w:p>
            <w:pPr>
              <w:keepNext w:val="0"/>
              <w:spacing w:after="0" w:line="254" w:lineRule="auto"/>
              <w:jc w:val="center"/>
            </w:pPr>
            <w:r>
              <w:rPr>
                <w:rFonts w:ascii="Cambria" w:hAnsi="Cambria"/>
                <w:b w:val="0"/>
                <w:color w:val="000000"/>
                <w:sz w:val="21"/>
              </w:rPr>
              <w:t>3,955</w:t>
            </w:r>
          </w:p>
        </w:tc>
      </w:tr>
    </w:tbl>
    <w:p>
      <w:pPr>
        <w:spacing w:before="0" w:after="40" w:line="80" w:lineRule="exact"/>
      </w:pPr>
      <w:r>
        <w:rPr>
          <w:sz w:val="6"/>
        </w:rPr>
      </w:r>
    </w:p>
    <w:p>
      <w:r>
        <w:t xml:space="preserve">Vermont law recognizes four organizations as Native American Indian tribes. The dates and statutory names are set out below. State recognition is a legal fact that must be distinguished from both federal acknowledgment and the conclusions of genealogical research. </w:t>
      </w:r>
      <w:r>
        <w:rPr>
          <w:sz w:val="19"/>
        </w:rPr>
        <w:t>[34]</w:t>
      </w:r>
      <w:r/>
    </w:p>
    <w:tbl>
      <w:tblPr>
        <w:tblW w:type="auto" w:w="0"/>
        <w:jc w:val="center"/>
        <w:tblLayout w:type="fixed"/>
        <w:tblLook w:firstColumn="1" w:firstRow="1" w:lastColumn="0" w:lastRow="0" w:noHBand="0" w:noVBand="1" w:val="04A0"/>
        <w:tblLayout w:type="fixed"/>
        <w:tblW w:w="9648" w:type="dxa"/>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00" w:type="dxa"/>
          <w:right w:w="100" w:type="dxa"/>
        </w:tblCellMar>
      </w:tblPr>
      <w:tblGrid>
        <w:gridCol w:w="7128"/>
        <w:gridCol w:w="2520"/>
      </w:tblGrid>
      <w:tr>
        <w:trPr>
          <w:cantSplit/>
          <w:tblHeader/>
        </w:trPr>
        <w:tc>
          <w:tcPr>
            <w:tcW w:type="dxa" w:w="7128"/>
            <w:vAlign w:val="center"/>
            <w:shd w:fill="E7EDF3"/>
          </w:tcPr>
          <w:p>
            <w:pPr>
              <w:keepNext/>
              <w:spacing w:after="0" w:line="254" w:lineRule="auto"/>
            </w:pPr>
            <w:r>
              <w:rPr>
                <w:rFonts w:ascii="Cambria" w:hAnsi="Cambria"/>
                <w:b/>
                <w:color w:val="000000"/>
                <w:sz w:val="21"/>
              </w:rPr>
              <w:t>Organization as named in Vermont law</w:t>
            </w:r>
          </w:p>
        </w:tc>
        <w:tc>
          <w:tcPr>
            <w:tcW w:type="dxa" w:w="2520"/>
            <w:vAlign w:val="center"/>
            <w:shd w:fill="E7EDF3"/>
          </w:tcPr>
          <w:p>
            <w:pPr>
              <w:keepNext/>
              <w:spacing w:after="0" w:line="254" w:lineRule="auto"/>
            </w:pPr>
            <w:r>
              <w:rPr>
                <w:rFonts w:ascii="Cambria" w:hAnsi="Cambria"/>
                <w:b/>
                <w:color w:val="000000"/>
                <w:sz w:val="21"/>
              </w:rPr>
              <w:t>State recognition date</w:t>
            </w:r>
          </w:p>
        </w:tc>
      </w:tr>
      <w:tr>
        <w:trPr>
          <w:cantSplit/>
        </w:trPr>
        <w:tc>
          <w:tcPr>
            <w:tcW w:type="dxa" w:w="7128"/>
            <w:vAlign w:val="center"/>
            <w:shd w:fill="FFFFFF"/>
          </w:tcPr>
          <w:p>
            <w:pPr>
              <w:keepNext w:val="0"/>
              <w:spacing w:after="0" w:line="254" w:lineRule="auto"/>
            </w:pPr>
            <w:r>
              <w:rPr>
                <w:rFonts w:ascii="Cambria" w:hAnsi="Cambria"/>
                <w:b w:val="0"/>
                <w:color w:val="000000"/>
                <w:sz w:val="21"/>
              </w:rPr>
              <w:t>Elnu Abenaki Tribe</w:t>
            </w:r>
          </w:p>
        </w:tc>
        <w:tc>
          <w:tcPr>
            <w:tcW w:type="dxa" w:w="2520"/>
            <w:vAlign w:val="center"/>
            <w:shd w:fill="FFFFFF"/>
          </w:tcPr>
          <w:p>
            <w:pPr>
              <w:keepNext w:val="0"/>
              <w:spacing w:after="0" w:line="254" w:lineRule="auto"/>
            </w:pPr>
            <w:r>
              <w:rPr>
                <w:rFonts w:ascii="Cambria" w:hAnsi="Cambria"/>
                <w:b w:val="0"/>
                <w:color w:val="000000"/>
                <w:sz w:val="21"/>
              </w:rPr>
              <w:t>April 22, 2011</w:t>
            </w:r>
          </w:p>
        </w:tc>
      </w:tr>
      <w:tr>
        <w:trPr>
          <w:cantSplit/>
        </w:trPr>
        <w:tc>
          <w:tcPr>
            <w:tcW w:type="dxa" w:w="7128"/>
            <w:vAlign w:val="center"/>
            <w:shd w:fill="F7F8FA"/>
          </w:tcPr>
          <w:p>
            <w:pPr>
              <w:keepNext w:val="0"/>
              <w:spacing w:after="0" w:line="254" w:lineRule="auto"/>
            </w:pPr>
            <w:r>
              <w:rPr>
                <w:rFonts w:ascii="Cambria" w:hAnsi="Cambria"/>
                <w:b w:val="0"/>
                <w:color w:val="000000"/>
                <w:sz w:val="21"/>
              </w:rPr>
              <w:t>Nulhegan Band of the Coosuk Abenaki Nation</w:t>
            </w:r>
          </w:p>
        </w:tc>
        <w:tc>
          <w:tcPr>
            <w:tcW w:type="dxa" w:w="2520"/>
            <w:vAlign w:val="center"/>
            <w:shd w:fill="F7F8FA"/>
          </w:tcPr>
          <w:p>
            <w:pPr>
              <w:keepNext w:val="0"/>
              <w:spacing w:after="0" w:line="254" w:lineRule="auto"/>
            </w:pPr>
            <w:r>
              <w:rPr>
                <w:rFonts w:ascii="Cambria" w:hAnsi="Cambria"/>
                <w:b w:val="0"/>
                <w:color w:val="000000"/>
                <w:sz w:val="21"/>
              </w:rPr>
              <w:t>April 22, 2011</w:t>
            </w:r>
          </w:p>
        </w:tc>
      </w:tr>
      <w:tr>
        <w:trPr>
          <w:cantSplit/>
        </w:trPr>
        <w:tc>
          <w:tcPr>
            <w:tcW w:type="dxa" w:w="7128"/>
            <w:vAlign w:val="center"/>
            <w:shd w:fill="FFFFFF"/>
          </w:tcPr>
          <w:p>
            <w:pPr>
              <w:keepNext w:val="0"/>
              <w:spacing w:after="0" w:line="254" w:lineRule="auto"/>
            </w:pPr>
            <w:r>
              <w:rPr>
                <w:rFonts w:ascii="Cambria" w:hAnsi="Cambria"/>
                <w:b w:val="0"/>
                <w:color w:val="000000"/>
                <w:sz w:val="21"/>
              </w:rPr>
              <w:t>Koasek Abenaki of the Koas</w:t>
            </w:r>
          </w:p>
        </w:tc>
        <w:tc>
          <w:tcPr>
            <w:tcW w:type="dxa" w:w="2520"/>
            <w:vAlign w:val="center"/>
            <w:shd w:fill="FFFFFF"/>
          </w:tcPr>
          <w:p>
            <w:pPr>
              <w:keepNext w:val="0"/>
              <w:spacing w:after="0" w:line="254" w:lineRule="auto"/>
            </w:pPr>
            <w:r>
              <w:rPr>
                <w:rFonts w:ascii="Cambria" w:hAnsi="Cambria"/>
                <w:b w:val="0"/>
                <w:color w:val="000000"/>
                <w:sz w:val="21"/>
              </w:rPr>
              <w:t>May 7, 2012</w:t>
            </w:r>
          </w:p>
        </w:tc>
      </w:tr>
      <w:tr>
        <w:trPr>
          <w:cantSplit/>
        </w:trPr>
        <w:tc>
          <w:tcPr>
            <w:tcW w:type="dxa" w:w="7128"/>
            <w:vAlign w:val="center"/>
            <w:shd w:fill="F7F8FA"/>
          </w:tcPr>
          <w:p>
            <w:pPr>
              <w:keepNext w:val="0"/>
              <w:spacing w:after="0" w:line="254" w:lineRule="auto"/>
            </w:pPr>
            <w:r>
              <w:rPr>
                <w:rFonts w:ascii="Cambria" w:hAnsi="Cambria"/>
                <w:b w:val="0"/>
                <w:color w:val="000000"/>
                <w:sz w:val="21"/>
              </w:rPr>
              <w:t>Missisquoi, St. Francis Sokoki Band</w:t>
            </w:r>
          </w:p>
        </w:tc>
        <w:tc>
          <w:tcPr>
            <w:tcW w:type="dxa" w:w="2520"/>
            <w:vAlign w:val="center"/>
            <w:shd w:fill="F7F8FA"/>
          </w:tcPr>
          <w:p>
            <w:pPr>
              <w:keepNext w:val="0"/>
              <w:spacing w:after="0" w:line="254" w:lineRule="auto"/>
            </w:pPr>
            <w:r>
              <w:rPr>
                <w:rFonts w:ascii="Cambria" w:hAnsi="Cambria"/>
                <w:b w:val="0"/>
                <w:color w:val="000000"/>
                <w:sz w:val="21"/>
              </w:rPr>
              <w:t>May 7, 2012</w:t>
            </w:r>
          </w:p>
        </w:tc>
      </w:tr>
    </w:tbl>
    <w:p>
      <w:pPr>
        <w:spacing w:before="0" w:after="40" w:line="80" w:lineRule="exact"/>
      </w:pPr>
      <w:r>
        <w:rPr>
          <w:sz w:val="6"/>
        </w:rPr>
      </w:r>
    </w:p>
    <w:p>
      <w:r>
        <w:t xml:space="preserve">Vermont’s statute states that recognition does not create a right or claim to land or authority to conduct otherwise prohibited gambling. Its recognition system therefore has a different scope from federal tribal acknowledgment. The law also restricts public access to genealogy submitted during the state process. These provisions help explain both what recognition establishes and why parts of the evidence are difficult for outside readers to assess. </w:t>
      </w:r>
      <w:r>
        <w:rPr>
          <w:sz w:val="19"/>
        </w:rPr>
        <w:t>[34]</w:t>
      </w:r>
      <w:r/>
    </w:p>
    <w:p>
      <w:r>
        <w:t xml:space="preserve">In 2007, the U.S. Department of the Interior declined federal acknowledgment of the St. Francis/Sokoki Band of Abenakis of Vermont. The final determination found insufficient evidence for four mandatory criteria, concerning identification, community, political influence or authority and descent. That decision concerns the petitioner and the record examined. It is not a finding that Abenaki people never inhabited Vermont or that no Abenaki descendants live there. </w:t>
      </w:r>
      <w:r>
        <w:rPr>
          <w:sz w:val="19"/>
        </w:rPr>
        <w:t>[33]</w:t>
      </w:r>
      <w:r/>
    </w:p>
    <w:p>
      <w:r>
        <w:t xml:space="preserve">The councils of Odanak and W8linak dispute the legitimacy of the Vermont organizations. Their Abenaki Heritage declaration describes the issue as appropriation of identity, culture and political voice. It emphasizes genealogical affiliation. This is a primary statement of the councils’ position and should be identified as such. </w:t>
      </w:r>
      <w:r>
        <w:rPr>
          <w:sz w:val="19"/>
        </w:rPr>
        <w:t>[36]</w:t>
      </w:r>
      <w:r/>
    </w:p>
    <w:p>
      <w:r>
        <w:t xml:space="preserve">In 2025, the councils released a large genealogical report concerning selected public figures associated with groups in Vermont and New Hampshire. Its opening summary states that the individuals studied had no Abenaki ancestry. This study consulted that summary and the report’s stated method, not every one of its hundreds of pages of family documentation. The scope of its examined lineages must remain distinct from a claim about every person in New England. </w:t>
      </w:r>
      <w:r>
        <w:rPr>
          <w:sz w:val="19"/>
        </w:rPr>
        <w:t>[38]</w:t>
      </w:r>
      <w:r/>
    </w:p>
    <w:p>
      <w:r>
        <w:t xml:space="preserve">Supporters of Vermont recognition defend their community histories, oral traditions and state recognition process. Kent’s essay, for example, argues that documentation can be incomplete and that Canadian and United States legal histories differ. Such a response establishes what a participant argues; it does not independently verify every historical assertion it contains. </w:t>
      </w:r>
      <w:r>
        <w:rPr>
          <w:sz w:val="19"/>
        </w:rPr>
        <w:t>[37]</w:t>
      </w:r>
      <w:r/>
    </w:p>
    <w:p>
      <w:r>
        <w:t xml:space="preserve">Several questions must remain separate: where historical Abenaki communities lived, whether a named person descends from them, whether a modern organization has continuous political history and what a government’s recognition legally grants. Broad agreement about the first question cannot settle the other three. The federal determination, peer reviewed research and the positions of the Abenaki First Nations carry substantial evidence and authority that a careful account must address. State recognition remains a separate statutory fact. </w:t>
      </w:r>
      <w:r>
        <w:rPr>
          <w:sz w:val="19"/>
        </w:rPr>
        <w:t>[33, 34, 35, 36]</w:t>
      </w:r>
      <w:r/>
    </w:p>
    <w:p>
      <w:pPr>
        <w:pStyle w:val="Heading1"/>
      </w:pPr>
      <w:r>
        <w:t>15 Education cultural institutions and the environment</w:t>
      </w:r>
    </w:p>
    <w:p>
      <w:r>
        <w:t xml:space="preserve">Abenaki life today includes schools, businesses, cultural work and political negotiation. Quebec’s community profile describes enterprises at Wôlinak and educational and cultural institutions at Odanak. These activities belong within the study of Abenaki society alongside language, basketry and older subsistence practices. </w:t>
      </w:r>
      <w:r>
        <w:rPr>
          <w:sz w:val="19"/>
        </w:rPr>
        <w:t>[40]</w:t>
      </w:r>
      <w:r/>
    </w:p>
    <w:p>
      <w:r>
        <w:t xml:space="preserve">Kiuna opened in Odanak on August 22, 2011. The First Nations Education Council describes it as a college created by and for First Nations, with recognized diplomas and programs grounded in Indigenous knowledge and contemporary needs. It serves students from several First Nations. Its importance is therefore wider than the local community while still being rooted in Odanak. </w:t>
      </w:r>
      <w:r>
        <w:rPr>
          <w:sz w:val="19"/>
        </w:rPr>
        <w:t>[41]</w:t>
      </w:r>
      <w:r/>
    </w:p>
    <w:p>
      <w:r>
        <w:t xml:space="preserve">The Musée des Abénakis, established in 1965, is another major institution. Its stated mission joins preservation, research and the transmission of living culture. Its archaeological projects have involved young people from the community as apprentices. This changes who participates in producing historical knowledge and where the resulting objects and interpretations remain. </w:t>
      </w:r>
      <w:r>
        <w:rPr>
          <w:sz w:val="19"/>
        </w:rPr>
        <w:t>[9, 42]</w:t>
      </w:r>
      <w:r/>
    </w:p>
    <w:p>
      <w:r>
        <w:t xml:space="preserve">Alanis Obomsawin’s work demonstrates another form of Abenaki cultural leadership. She grew up at Odanak and in Trois Rivières and joined the National Film Board in 1967. Her films, including Incident at Restigouche and Kanehsatake 270 Years of Resistance, document struggles involving other Indigenous nations as well as broader questions of education and rights. Her practice of listening to people before filming them places their voices at the center of the record. </w:t>
      </w:r>
      <w:r>
        <w:rPr>
          <w:sz w:val="19"/>
        </w:rPr>
        <w:t>[43]</w:t>
      </w:r>
      <w:r/>
    </w:p>
    <w:p>
      <w:r>
        <w:t xml:space="preserve">Contemporary visual art also draws on family knowledge and present experience. The museum’s 2026 exhibitions feature Christine Sioui Wawanoloath, Denys Bernard and Dylan Dufresne. These examples demonstrate that Abenaki cultural production continues through individual artistic choices. It is not confined to reproducing objects from a colonial period. </w:t>
      </w:r>
      <w:r>
        <w:rPr>
          <w:sz w:val="19"/>
        </w:rPr>
        <w:t>[44]</w:t>
      </w:r>
      <w:r/>
    </w:p>
    <w:p>
      <w:r>
        <w:t xml:space="preserve">Environmental protection is closely connected with cultural work. In October 2025, Odanak hosted an inter nation gathering on black ash and basketry. The University of Maine’s account describes work on emerald ash borer, seed collection, regeneration and the teaching of basketmaking. Damage to ash trees threatens materials, livelihoods and opportunities to pass on specialized knowledge at the same time. </w:t>
      </w:r>
      <w:r>
        <w:rPr>
          <w:sz w:val="19"/>
        </w:rPr>
        <w:t>[45]</w:t>
      </w:r>
      <w:r/>
    </w:p>
    <w:p>
      <w:r>
        <w:t xml:space="preserve">Political work also continues through negotiations about territory. On June 23, 2022, Quebec and the Grand Conseil de la Nation Waban Aki announced a consultation and accommodation agreement. It established a framework for consultation and a liaison committee. This is evidence of a specific agreement, rather than proof that all territorial questions have been settled. </w:t>
      </w:r>
      <w:r>
        <w:rPr>
          <w:sz w:val="19"/>
        </w:rPr>
        <w:t>[46]</w:t>
      </w:r>
      <w:r/>
    </w:p>
    <w:p>
      <w:pPr>
        <w:pStyle w:val="Heading1"/>
      </w:pPr>
      <w:r>
        <w:t>16 How to study the evidence</w:t>
      </w:r>
    </w:p>
    <w:p>
      <w:r>
        <w:t>A strong Abenaki history uses sources for the questions they can answer. Archaeological evidence can identify material practices and changes in settlement. Parish registers and other records can help reconstruct family relationships. Military journals document operations through the interests of their writers. Oral histories can preserve named relationships, community interpretations and experiences omitted from official records. No single source type answers every question.</w:t>
      </w:r>
    </w:p>
    <w:p>
      <w:r>
        <w:t xml:space="preserve">Bias is not a reason to discard every colonial source. It is a reason to ask who created it, for whom and for what purpose. A French official seeking more funding might emphasize an alliance’s military value. A missionary might describe spiritual practices in hostile terms. A military commander might exaggerate a victory. The research task is to compare these statements with other evidence while preserving uncertainty where comparison does not resolve it. </w:t>
      </w:r>
      <w:r>
        <w:rPr>
          <w:sz w:val="19"/>
        </w:rPr>
        <w:t>[19, 22, 25]</w:t>
      </w:r>
      <w:r/>
    </w:p>
    <w:p>
      <w:r>
        <w:t>Modern sources require the same care. A government statute establishes a legal designation. A tribal declaration establishes an official position. A participant’s essay gives an argument from inside a dispute. Peer reviewed scholarship offers an interpretation tested through academic review, but readers can still examine its method and sources. A university web address alone does not make every hosted page a scholarly consensus.</w:t>
      </w:r>
    </w:p>
    <w:p>
      <w:r>
        <w:t xml:space="preserve">Lisa Brooks’s Our Beloved Kin is useful further reading for its attention to Native geography, kinship and people often marginalized in accounts of King Philip’s War. Colin Calloway’s Western Abenakis of Vermont offers a sustained regional history. Their linked publisher and catalog records identify the books; they do not provide unrestricted full text or mean that the complete books were consulted for this study. The bibliography below instead identifies the accessible articles, records and summaries used here. </w:t>
      </w:r>
      <w:r>
        <w:rPr>
          <w:sz w:val="19"/>
        </w:rPr>
        <w:t>[47, 48]</w:t>
      </w:r>
      <w:r/>
    </w:p>
    <w:p>
      <w:r>
        <w:t>The evidence supports a history of Abenaki communities continuing through profound change. Their survival involved decisions about where to live, whom to trust, how to earn a living and what to teach. Current disputes over recognition matter because they concern who may speak for that history and exercise authority in its name. They should be investigated without allowing the dispute to obscure the documented people and communities across the longer record.</w:t>
      </w:r>
    </w:p>
    <w:p>
      <w:pPr>
        <w:pStyle w:val="Heading1"/>
      </w:pPr>
      <w:r>
        <w:t>17 Chronology for review</w:t>
      </w:r>
    </w:p>
    <w:tbl>
      <w:tblPr>
        <w:tblW w:type="auto" w:w="0"/>
        <w:jc w:val="center"/>
        <w:tblLayout w:type="fixed"/>
        <w:tblLook w:firstColumn="1" w:firstRow="1" w:lastColumn="0" w:lastRow="0" w:noHBand="0" w:noVBand="1" w:val="04A0"/>
        <w:tblLayout w:type="fixed"/>
        <w:tblW w:w="9648" w:type="dxa"/>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00" w:type="dxa"/>
          <w:right w:w="100" w:type="dxa"/>
        </w:tblCellMar>
      </w:tblPr>
      <w:tblGrid>
        <w:gridCol w:w="2333"/>
        <w:gridCol w:w="7315"/>
      </w:tblGrid>
      <w:tr>
        <w:trPr>
          <w:cantSplit/>
          <w:tblHeader/>
        </w:trPr>
        <w:tc>
          <w:tcPr>
            <w:tcW w:type="dxa" w:w="2333"/>
            <w:vAlign w:val="center"/>
            <w:shd w:fill="E7EDF3"/>
          </w:tcPr>
          <w:p>
            <w:pPr>
              <w:keepNext/>
              <w:spacing w:after="0" w:line="254" w:lineRule="auto"/>
            </w:pPr>
            <w:r>
              <w:rPr>
                <w:rFonts w:ascii="Cambria" w:hAnsi="Cambria"/>
                <w:b/>
                <w:color w:val="000000"/>
                <w:sz w:val="21"/>
              </w:rPr>
              <w:t>Date or period</w:t>
            </w:r>
          </w:p>
        </w:tc>
        <w:tc>
          <w:tcPr>
            <w:tcW w:type="dxa" w:w="7315"/>
            <w:vAlign w:val="center"/>
            <w:shd w:fill="E7EDF3"/>
          </w:tcPr>
          <w:p>
            <w:pPr>
              <w:keepNext/>
              <w:spacing w:after="0" w:line="254" w:lineRule="auto"/>
            </w:pPr>
            <w:r>
              <w:rPr>
                <w:rFonts w:ascii="Cambria" w:hAnsi="Cambria"/>
                <w:b/>
                <w:color w:val="000000"/>
                <w:sz w:val="21"/>
              </w:rPr>
              <w:t>Event or development</w:t>
            </w:r>
          </w:p>
        </w:tc>
      </w:tr>
      <w:tr>
        <w:trPr>
          <w:cantSplit/>
        </w:trPr>
        <w:tc>
          <w:tcPr>
            <w:tcW w:type="dxa" w:w="2333"/>
            <w:vAlign w:val="center"/>
            <w:shd w:fill="FFFFFF"/>
          </w:tcPr>
          <w:p>
            <w:pPr>
              <w:keepNext w:val="0"/>
              <w:spacing w:after="0" w:line="254" w:lineRule="auto"/>
            </w:pPr>
            <w:r>
              <w:rPr>
                <w:rFonts w:ascii="Cambria" w:hAnsi="Cambria"/>
                <w:b w:val="0"/>
                <w:color w:val="000000"/>
                <w:sz w:val="21"/>
              </w:rPr>
              <w:t>About 12,000 years ago onward</w:t>
            </w:r>
          </w:p>
        </w:tc>
        <w:tc>
          <w:tcPr>
            <w:tcW w:type="dxa" w:w="7315"/>
            <w:vAlign w:val="center"/>
            <w:shd w:fill="FFFFFF"/>
          </w:tcPr>
          <w:p>
            <w:pPr>
              <w:keepNext w:val="0"/>
              <w:spacing w:after="0" w:line="254" w:lineRule="auto"/>
            </w:pPr>
            <w:r>
              <w:rPr>
                <w:rFonts w:ascii="Cambria" w:hAnsi="Cambria"/>
                <w:b w:val="0"/>
                <w:color w:val="000000"/>
                <w:sz w:val="21"/>
              </w:rPr>
              <w:t>Human occupation of the Northeast after glacial retreat [7]</w:t>
            </w:r>
          </w:p>
        </w:tc>
      </w:tr>
      <w:tr>
        <w:trPr>
          <w:cantSplit/>
        </w:trPr>
        <w:tc>
          <w:tcPr>
            <w:tcW w:type="dxa" w:w="2333"/>
            <w:vAlign w:val="center"/>
            <w:shd w:fill="F7F8FA"/>
          </w:tcPr>
          <w:p>
            <w:pPr>
              <w:keepNext w:val="0"/>
              <w:spacing w:after="0" w:line="254" w:lineRule="auto"/>
            </w:pPr>
            <w:r>
              <w:rPr>
                <w:rFonts w:ascii="Cambria" w:hAnsi="Cambria"/>
                <w:b w:val="0"/>
                <w:color w:val="000000"/>
                <w:sz w:val="21"/>
              </w:rPr>
              <w:t>Before European colonization</w:t>
            </w:r>
          </w:p>
        </w:tc>
        <w:tc>
          <w:tcPr>
            <w:tcW w:type="dxa" w:w="7315"/>
            <w:vAlign w:val="center"/>
            <w:shd w:fill="F7F8FA"/>
          </w:tcPr>
          <w:p>
            <w:pPr>
              <w:keepNext w:val="0"/>
              <w:spacing w:after="0" w:line="254" w:lineRule="auto"/>
            </w:pPr>
            <w:r>
              <w:rPr>
                <w:rFonts w:ascii="Cambria" w:hAnsi="Cambria"/>
                <w:b w:val="0"/>
                <w:color w:val="000000"/>
                <w:sz w:val="21"/>
              </w:rPr>
              <w:t>Farming, seasonal movement and exchange connect communities across the homeland [3, 4]</w:t>
            </w:r>
          </w:p>
        </w:tc>
      </w:tr>
      <w:tr>
        <w:trPr>
          <w:cantSplit/>
        </w:trPr>
        <w:tc>
          <w:tcPr>
            <w:tcW w:type="dxa" w:w="2333"/>
            <w:vAlign w:val="center"/>
            <w:shd w:fill="FFFFFF"/>
          </w:tcPr>
          <w:p>
            <w:pPr>
              <w:keepNext w:val="0"/>
              <w:spacing w:after="0" w:line="254" w:lineRule="auto"/>
            </w:pPr>
            <w:r>
              <w:rPr>
                <w:rFonts w:ascii="Cambria" w:hAnsi="Cambria"/>
                <w:b w:val="0"/>
                <w:color w:val="000000"/>
                <w:sz w:val="21"/>
              </w:rPr>
              <w:t>1616 to 1619</w:t>
            </w:r>
          </w:p>
        </w:tc>
        <w:tc>
          <w:tcPr>
            <w:tcW w:type="dxa" w:w="7315"/>
            <w:vAlign w:val="center"/>
            <w:shd w:fill="FFFFFF"/>
          </w:tcPr>
          <w:p>
            <w:pPr>
              <w:keepNext w:val="0"/>
              <w:spacing w:after="0" w:line="254" w:lineRule="auto"/>
            </w:pPr>
            <w:r>
              <w:rPr>
                <w:rFonts w:ascii="Cambria" w:hAnsi="Cambria"/>
                <w:b w:val="0"/>
                <w:color w:val="000000"/>
                <w:sz w:val="21"/>
              </w:rPr>
              <w:t>Epidemics devastate parts of coastal New England; exact disease identification remains debated [16, 18]</w:t>
            </w:r>
          </w:p>
        </w:tc>
      </w:tr>
      <w:tr>
        <w:trPr>
          <w:cantSplit/>
        </w:trPr>
        <w:tc>
          <w:tcPr>
            <w:tcW w:type="dxa" w:w="2333"/>
            <w:vAlign w:val="center"/>
            <w:shd w:fill="F7F8FA"/>
          </w:tcPr>
          <w:p>
            <w:pPr>
              <w:keepNext w:val="0"/>
              <w:spacing w:after="0" w:line="254" w:lineRule="auto"/>
            </w:pPr>
            <w:r>
              <w:rPr>
                <w:rFonts w:ascii="Cambria" w:hAnsi="Cambria"/>
                <w:b w:val="0"/>
                <w:color w:val="000000"/>
                <w:sz w:val="21"/>
              </w:rPr>
              <w:t>March 1621</w:t>
            </w:r>
          </w:p>
        </w:tc>
        <w:tc>
          <w:tcPr>
            <w:tcW w:type="dxa" w:w="7315"/>
            <w:vAlign w:val="center"/>
            <w:shd w:fill="F7F8FA"/>
          </w:tcPr>
          <w:p>
            <w:pPr>
              <w:keepNext w:val="0"/>
              <w:spacing w:after="0" w:line="254" w:lineRule="auto"/>
            </w:pPr>
            <w:r>
              <w:rPr>
                <w:rFonts w:ascii="Cambria" w:hAnsi="Cambria"/>
                <w:b w:val="0"/>
                <w:color w:val="000000"/>
                <w:sz w:val="21"/>
              </w:rPr>
              <w:t>Samoset visits Plymouth and communicates in English [16]</w:t>
            </w:r>
          </w:p>
        </w:tc>
      </w:tr>
      <w:tr>
        <w:trPr>
          <w:cantSplit/>
        </w:trPr>
        <w:tc>
          <w:tcPr>
            <w:tcW w:type="dxa" w:w="2333"/>
            <w:vAlign w:val="center"/>
            <w:shd w:fill="FFFFFF"/>
          </w:tcPr>
          <w:p>
            <w:pPr>
              <w:keepNext w:val="0"/>
              <w:spacing w:after="0" w:line="254" w:lineRule="auto"/>
            </w:pPr>
            <w:r>
              <w:rPr>
                <w:rFonts w:ascii="Cambria" w:hAnsi="Cambria"/>
                <w:b w:val="0"/>
                <w:color w:val="000000"/>
                <w:sz w:val="21"/>
              </w:rPr>
              <w:t>1675 and the following years</w:t>
            </w:r>
          </w:p>
        </w:tc>
        <w:tc>
          <w:tcPr>
            <w:tcW w:type="dxa" w:w="7315"/>
            <w:vAlign w:val="center"/>
            <w:shd w:fill="FFFFFF"/>
          </w:tcPr>
          <w:p>
            <w:pPr>
              <w:keepNext w:val="0"/>
              <w:spacing w:after="0" w:line="254" w:lineRule="auto"/>
            </w:pPr>
            <w:r>
              <w:rPr>
                <w:rFonts w:ascii="Cambria" w:hAnsi="Cambria"/>
                <w:b w:val="0"/>
                <w:color w:val="000000"/>
                <w:sz w:val="21"/>
              </w:rPr>
              <w:t>King Philip’s War and its aftermath produce widespread displacement [17, 20]</w:t>
            </w:r>
          </w:p>
        </w:tc>
      </w:tr>
      <w:tr>
        <w:trPr>
          <w:cantSplit/>
        </w:trPr>
        <w:tc>
          <w:tcPr>
            <w:tcW w:type="dxa" w:w="2333"/>
            <w:vAlign w:val="center"/>
            <w:shd w:fill="F7F8FA"/>
          </w:tcPr>
          <w:p>
            <w:pPr>
              <w:keepNext w:val="0"/>
              <w:spacing w:after="0" w:line="254" w:lineRule="auto"/>
            </w:pPr>
            <w:r>
              <w:rPr>
                <w:rFonts w:ascii="Cambria" w:hAnsi="Cambria"/>
                <w:b w:val="0"/>
                <w:color w:val="000000"/>
                <w:sz w:val="21"/>
              </w:rPr>
              <w:t>Late 1600s and early 1700s</w:t>
            </w:r>
          </w:p>
        </w:tc>
        <w:tc>
          <w:tcPr>
            <w:tcW w:type="dxa" w:w="7315"/>
            <w:vAlign w:val="center"/>
            <w:shd w:fill="F7F8FA"/>
          </w:tcPr>
          <w:p>
            <w:pPr>
              <w:keepNext w:val="0"/>
              <w:spacing w:after="0" w:line="254" w:lineRule="auto"/>
            </w:pPr>
            <w:r>
              <w:rPr>
                <w:rFonts w:ascii="Cambria" w:hAnsi="Cambria"/>
                <w:b w:val="0"/>
                <w:color w:val="000000"/>
                <w:sz w:val="21"/>
              </w:rPr>
              <w:t>Odanak grows as a settlement and refuge with people from several communities [21]</w:t>
            </w:r>
          </w:p>
        </w:tc>
      </w:tr>
      <w:tr>
        <w:trPr>
          <w:cantSplit/>
        </w:trPr>
        <w:tc>
          <w:tcPr>
            <w:tcW w:type="dxa" w:w="2333"/>
            <w:vAlign w:val="center"/>
            <w:shd w:fill="FFFFFF"/>
          </w:tcPr>
          <w:p>
            <w:pPr>
              <w:keepNext w:val="0"/>
              <w:spacing w:after="0" w:line="254" w:lineRule="auto"/>
            </w:pPr>
            <w:r>
              <w:rPr>
                <w:rFonts w:ascii="Cambria" w:hAnsi="Cambria"/>
                <w:b w:val="0"/>
                <w:color w:val="000000"/>
                <w:sz w:val="21"/>
              </w:rPr>
              <w:t>1704</w:t>
            </w:r>
          </w:p>
        </w:tc>
        <w:tc>
          <w:tcPr>
            <w:tcW w:type="dxa" w:w="7315"/>
            <w:vAlign w:val="center"/>
            <w:shd w:fill="FFFFFF"/>
          </w:tcPr>
          <w:p>
            <w:pPr>
              <w:keepNext w:val="0"/>
              <w:spacing w:after="0" w:line="254" w:lineRule="auto"/>
            </w:pPr>
            <w:r>
              <w:rPr>
                <w:rFonts w:ascii="Cambria" w:hAnsi="Cambria"/>
                <w:b w:val="0"/>
                <w:color w:val="000000"/>
                <w:sz w:val="21"/>
              </w:rPr>
              <w:t>Fortification at Odanak; raid on Deerfield on February 29 [9, 23]</w:t>
            </w:r>
          </w:p>
        </w:tc>
      </w:tr>
      <w:tr>
        <w:trPr>
          <w:cantSplit/>
        </w:trPr>
        <w:tc>
          <w:tcPr>
            <w:tcW w:type="dxa" w:w="2333"/>
            <w:vAlign w:val="center"/>
            <w:shd w:fill="F7F8FA"/>
          </w:tcPr>
          <w:p>
            <w:pPr>
              <w:keepNext w:val="0"/>
              <w:spacing w:after="0" w:line="254" w:lineRule="auto"/>
            </w:pPr>
            <w:r>
              <w:rPr>
                <w:rFonts w:ascii="Cambria" w:hAnsi="Cambria"/>
                <w:b w:val="0"/>
                <w:color w:val="000000"/>
                <w:sz w:val="21"/>
              </w:rPr>
              <w:t>August 23, 1724</w:t>
            </w:r>
          </w:p>
        </w:tc>
        <w:tc>
          <w:tcPr>
            <w:tcW w:type="dxa" w:w="7315"/>
            <w:vAlign w:val="center"/>
            <w:shd w:fill="F7F8FA"/>
          </w:tcPr>
          <w:p>
            <w:pPr>
              <w:keepNext w:val="0"/>
              <w:spacing w:after="0" w:line="254" w:lineRule="auto"/>
            </w:pPr>
            <w:r>
              <w:rPr>
                <w:rFonts w:ascii="Cambria" w:hAnsi="Cambria"/>
                <w:b w:val="0"/>
                <w:color w:val="000000"/>
                <w:sz w:val="21"/>
              </w:rPr>
              <w:t>Colonial attack destroys Norridgewock [24]</w:t>
            </w:r>
          </w:p>
        </w:tc>
      </w:tr>
      <w:tr>
        <w:trPr>
          <w:cantSplit/>
        </w:trPr>
        <w:tc>
          <w:tcPr>
            <w:tcW w:type="dxa" w:w="2333"/>
            <w:vAlign w:val="center"/>
            <w:shd w:fill="FFFFFF"/>
          </w:tcPr>
          <w:p>
            <w:pPr>
              <w:keepNext w:val="0"/>
              <w:spacing w:after="0" w:line="254" w:lineRule="auto"/>
            </w:pPr>
            <w:r>
              <w:rPr>
                <w:rFonts w:ascii="Cambria" w:hAnsi="Cambria"/>
                <w:b w:val="0"/>
                <w:color w:val="000000"/>
                <w:sz w:val="21"/>
              </w:rPr>
              <w:t>October 4, 1759</w:t>
            </w:r>
          </w:p>
        </w:tc>
        <w:tc>
          <w:tcPr>
            <w:tcW w:type="dxa" w:w="7315"/>
            <w:vAlign w:val="center"/>
            <w:shd w:fill="FFFFFF"/>
          </w:tcPr>
          <w:p>
            <w:pPr>
              <w:keepNext w:val="0"/>
              <w:spacing w:after="0" w:line="254" w:lineRule="auto"/>
            </w:pPr>
            <w:r>
              <w:rPr>
                <w:rFonts w:ascii="Cambria" w:hAnsi="Cambria"/>
                <w:b w:val="0"/>
                <w:color w:val="000000"/>
                <w:sz w:val="21"/>
              </w:rPr>
              <w:t>Rogers’s Rangers attack and burn Odanak [25]</w:t>
            </w:r>
          </w:p>
        </w:tc>
      </w:tr>
      <w:tr>
        <w:trPr>
          <w:cantSplit/>
        </w:trPr>
        <w:tc>
          <w:tcPr>
            <w:tcW w:type="dxa" w:w="2333"/>
            <w:vAlign w:val="center"/>
            <w:shd w:fill="F7F8FA"/>
          </w:tcPr>
          <w:p>
            <w:pPr>
              <w:keepNext w:val="0"/>
              <w:spacing w:after="0" w:line="254" w:lineRule="auto"/>
            </w:pPr>
            <w:r>
              <w:rPr>
                <w:rFonts w:ascii="Cambria" w:hAnsi="Cambria"/>
                <w:b w:val="0"/>
                <w:color w:val="000000"/>
                <w:sz w:val="21"/>
              </w:rPr>
              <w:t>1760</w:t>
            </w:r>
          </w:p>
        </w:tc>
        <w:tc>
          <w:tcPr>
            <w:tcW w:type="dxa" w:w="7315"/>
            <w:vAlign w:val="center"/>
            <w:shd w:fill="F7F8FA"/>
          </w:tcPr>
          <w:p>
            <w:pPr>
              <w:keepNext w:val="0"/>
              <w:spacing w:after="0" w:line="254" w:lineRule="auto"/>
            </w:pPr>
            <w:r>
              <w:rPr>
                <w:rFonts w:ascii="Cambria" w:hAnsi="Cambria"/>
                <w:b w:val="0"/>
                <w:color w:val="000000"/>
                <w:sz w:val="21"/>
              </w:rPr>
              <w:t>Odanak is rebuilt [27]</w:t>
            </w:r>
          </w:p>
        </w:tc>
      </w:tr>
      <w:tr>
        <w:trPr>
          <w:cantSplit/>
        </w:trPr>
        <w:tc>
          <w:tcPr>
            <w:tcW w:type="dxa" w:w="2333"/>
            <w:vAlign w:val="center"/>
            <w:shd w:fill="FFFFFF"/>
          </w:tcPr>
          <w:p>
            <w:pPr>
              <w:keepNext w:val="0"/>
              <w:spacing w:after="0" w:line="254" w:lineRule="auto"/>
            </w:pPr>
            <w:r>
              <w:rPr>
                <w:rFonts w:ascii="Cambria" w:hAnsi="Cambria"/>
                <w:b w:val="0"/>
                <w:color w:val="000000"/>
                <w:sz w:val="21"/>
              </w:rPr>
              <w:t>1775 to 1783</w:t>
            </w:r>
          </w:p>
        </w:tc>
        <w:tc>
          <w:tcPr>
            <w:tcW w:type="dxa" w:w="7315"/>
            <w:vAlign w:val="center"/>
            <w:shd w:fill="FFFFFF"/>
          </w:tcPr>
          <w:p>
            <w:pPr>
              <w:keepNext w:val="0"/>
              <w:spacing w:after="0" w:line="254" w:lineRule="auto"/>
            </w:pPr>
            <w:r>
              <w:rPr>
                <w:rFonts w:ascii="Cambria" w:hAnsi="Cambria"/>
                <w:b w:val="0"/>
                <w:color w:val="000000"/>
                <w:sz w:val="21"/>
              </w:rPr>
              <w:t>Abenaki people face competing pressures during the American Revolution [28]</w:t>
            </w:r>
          </w:p>
        </w:tc>
      </w:tr>
      <w:tr>
        <w:trPr>
          <w:cantSplit/>
        </w:trPr>
        <w:tc>
          <w:tcPr>
            <w:tcW w:type="dxa" w:w="2333"/>
            <w:vAlign w:val="center"/>
            <w:shd w:fill="F7F8FA"/>
          </w:tcPr>
          <w:p>
            <w:pPr>
              <w:keepNext w:val="0"/>
              <w:spacing w:after="0" w:line="254" w:lineRule="auto"/>
            </w:pPr>
            <w:r>
              <w:rPr>
                <w:rFonts w:ascii="Cambria" w:hAnsi="Cambria"/>
                <w:b w:val="0"/>
                <w:color w:val="000000"/>
                <w:sz w:val="21"/>
              </w:rPr>
              <w:t>1876</w:t>
            </w:r>
          </w:p>
        </w:tc>
        <w:tc>
          <w:tcPr>
            <w:tcW w:type="dxa" w:w="7315"/>
            <w:vAlign w:val="center"/>
            <w:shd w:fill="F7F8FA"/>
          </w:tcPr>
          <w:p>
            <w:pPr>
              <w:keepNext w:val="0"/>
              <w:spacing w:after="0" w:line="254" w:lineRule="auto"/>
            </w:pPr>
            <w:r>
              <w:rPr>
                <w:rFonts w:ascii="Cambria" w:hAnsi="Cambria"/>
                <w:b w:val="0"/>
                <w:color w:val="000000"/>
                <w:sz w:val="21"/>
              </w:rPr>
              <w:t>Canadian Indian Act consolidates federal control over many aspects of First Nations life [27, 29]</w:t>
            </w:r>
          </w:p>
        </w:tc>
      </w:tr>
      <w:tr>
        <w:trPr>
          <w:cantSplit/>
        </w:trPr>
        <w:tc>
          <w:tcPr>
            <w:tcW w:type="dxa" w:w="2333"/>
            <w:vAlign w:val="center"/>
            <w:shd w:fill="FFFFFF"/>
          </w:tcPr>
          <w:p>
            <w:pPr>
              <w:keepNext w:val="0"/>
              <w:spacing w:after="0" w:line="254" w:lineRule="auto"/>
            </w:pPr>
            <w:r>
              <w:rPr>
                <w:rFonts w:ascii="Cambria" w:hAnsi="Cambria"/>
                <w:b w:val="0"/>
                <w:color w:val="000000"/>
                <w:sz w:val="21"/>
              </w:rPr>
              <w:t>1884</w:t>
            </w:r>
          </w:p>
        </w:tc>
        <w:tc>
          <w:tcPr>
            <w:tcW w:type="dxa" w:w="7315"/>
            <w:vAlign w:val="center"/>
            <w:shd w:fill="FFFFFF"/>
          </w:tcPr>
          <w:p>
            <w:pPr>
              <w:keepNext w:val="0"/>
              <w:spacing w:after="0" w:line="254" w:lineRule="auto"/>
            </w:pPr>
            <w:r>
              <w:rPr>
                <w:rFonts w:ascii="Cambria" w:hAnsi="Cambria"/>
                <w:b w:val="0"/>
                <w:color w:val="000000"/>
                <w:sz w:val="21"/>
              </w:rPr>
              <w:t>Joseph Laurent publishes his Abenaki and English language book [13]</w:t>
            </w:r>
          </w:p>
        </w:tc>
      </w:tr>
      <w:tr>
        <w:trPr>
          <w:cantSplit/>
        </w:trPr>
        <w:tc>
          <w:tcPr>
            <w:tcW w:type="dxa" w:w="2333"/>
            <w:vAlign w:val="center"/>
            <w:shd w:fill="F7F8FA"/>
          </w:tcPr>
          <w:p>
            <w:pPr>
              <w:keepNext w:val="0"/>
              <w:spacing w:after="0" w:line="254" w:lineRule="auto"/>
            </w:pPr>
            <w:r>
              <w:rPr>
                <w:rFonts w:ascii="Cambria" w:hAnsi="Cambria"/>
                <w:b w:val="0"/>
                <w:color w:val="000000"/>
                <w:sz w:val="21"/>
              </w:rPr>
              <w:t>1925 to 1936</w:t>
            </w:r>
          </w:p>
        </w:tc>
        <w:tc>
          <w:tcPr>
            <w:tcW w:type="dxa" w:w="7315"/>
            <w:vAlign w:val="center"/>
            <w:shd w:fill="F7F8FA"/>
          </w:tcPr>
          <w:p>
            <w:pPr>
              <w:keepNext w:val="0"/>
              <w:spacing w:after="0" w:line="254" w:lineRule="auto"/>
            </w:pPr>
            <w:r>
              <w:rPr>
                <w:rFonts w:ascii="Cambria" w:hAnsi="Cambria"/>
                <w:b w:val="0"/>
                <w:color w:val="000000"/>
                <w:sz w:val="21"/>
              </w:rPr>
              <w:t>Vermont Eugenics Survey operates; sterilization law is enacted in 1931 [32]</w:t>
            </w:r>
          </w:p>
        </w:tc>
      </w:tr>
      <w:tr>
        <w:trPr>
          <w:cantSplit/>
        </w:trPr>
        <w:tc>
          <w:tcPr>
            <w:tcW w:type="dxa" w:w="2333"/>
            <w:vAlign w:val="center"/>
            <w:shd w:fill="FFFFFF"/>
          </w:tcPr>
          <w:p>
            <w:pPr>
              <w:keepNext w:val="0"/>
              <w:spacing w:after="0" w:line="254" w:lineRule="auto"/>
            </w:pPr>
            <w:r>
              <w:rPr>
                <w:rFonts w:ascii="Cambria" w:hAnsi="Cambria"/>
                <w:b w:val="0"/>
                <w:color w:val="000000"/>
                <w:sz w:val="21"/>
              </w:rPr>
              <w:t>1965</w:t>
            </w:r>
          </w:p>
        </w:tc>
        <w:tc>
          <w:tcPr>
            <w:tcW w:type="dxa" w:w="7315"/>
            <w:vAlign w:val="center"/>
            <w:shd w:fill="FFFFFF"/>
          </w:tcPr>
          <w:p>
            <w:pPr>
              <w:keepNext w:val="0"/>
              <w:spacing w:after="0" w:line="254" w:lineRule="auto"/>
            </w:pPr>
            <w:r>
              <w:rPr>
                <w:rFonts w:ascii="Cambria" w:hAnsi="Cambria"/>
                <w:b w:val="0"/>
                <w:color w:val="000000"/>
                <w:sz w:val="21"/>
              </w:rPr>
              <w:t>Musée des Abénakis is established [42]</w:t>
            </w:r>
          </w:p>
        </w:tc>
      </w:tr>
      <w:tr>
        <w:trPr>
          <w:cantSplit/>
        </w:trPr>
        <w:tc>
          <w:tcPr>
            <w:tcW w:type="dxa" w:w="2333"/>
            <w:vAlign w:val="center"/>
            <w:shd w:fill="F7F8FA"/>
          </w:tcPr>
          <w:p>
            <w:pPr>
              <w:keepNext w:val="0"/>
              <w:spacing w:after="0" w:line="254" w:lineRule="auto"/>
            </w:pPr>
            <w:r>
              <w:rPr>
                <w:rFonts w:ascii="Cambria" w:hAnsi="Cambria"/>
                <w:b w:val="0"/>
                <w:color w:val="000000"/>
                <w:sz w:val="21"/>
              </w:rPr>
              <w:t>2007</w:t>
            </w:r>
          </w:p>
        </w:tc>
        <w:tc>
          <w:tcPr>
            <w:tcW w:type="dxa" w:w="7315"/>
            <w:vAlign w:val="center"/>
            <w:shd w:fill="F7F8FA"/>
          </w:tcPr>
          <w:p>
            <w:pPr>
              <w:keepNext w:val="0"/>
              <w:spacing w:after="0" w:line="254" w:lineRule="auto"/>
            </w:pPr>
            <w:r>
              <w:rPr>
                <w:rFonts w:ascii="Cambria" w:hAnsi="Cambria"/>
                <w:b w:val="0"/>
                <w:color w:val="000000"/>
                <w:sz w:val="21"/>
              </w:rPr>
              <w:t>Federal acknowledgment is declined for the St. Francis/Sokoki petitioner in Vermont [33]</w:t>
            </w:r>
          </w:p>
        </w:tc>
      </w:tr>
      <w:tr>
        <w:trPr>
          <w:cantSplit/>
        </w:trPr>
        <w:tc>
          <w:tcPr>
            <w:tcW w:type="dxa" w:w="2333"/>
            <w:vAlign w:val="center"/>
            <w:shd w:fill="FFFFFF"/>
          </w:tcPr>
          <w:p>
            <w:pPr>
              <w:keepNext w:val="0"/>
              <w:spacing w:after="0" w:line="254" w:lineRule="auto"/>
            </w:pPr>
            <w:r>
              <w:rPr>
                <w:rFonts w:ascii="Cambria" w:hAnsi="Cambria"/>
                <w:b w:val="0"/>
                <w:color w:val="000000"/>
                <w:sz w:val="21"/>
              </w:rPr>
              <w:t>2011 and 2012</w:t>
            </w:r>
          </w:p>
        </w:tc>
        <w:tc>
          <w:tcPr>
            <w:tcW w:type="dxa" w:w="7315"/>
            <w:vAlign w:val="center"/>
            <w:shd w:fill="FFFFFF"/>
          </w:tcPr>
          <w:p>
            <w:pPr>
              <w:keepNext w:val="0"/>
              <w:spacing w:after="0" w:line="254" w:lineRule="auto"/>
            </w:pPr>
            <w:r>
              <w:rPr>
                <w:rFonts w:ascii="Cambria" w:hAnsi="Cambria"/>
                <w:b w:val="0"/>
                <w:color w:val="000000"/>
                <w:sz w:val="21"/>
              </w:rPr>
              <w:t>Vermont recognizes four organizations; Kiuna opens at Odanak in 2011 [34, 41]</w:t>
            </w:r>
          </w:p>
        </w:tc>
      </w:tr>
      <w:tr>
        <w:trPr>
          <w:cantSplit/>
        </w:trPr>
        <w:tc>
          <w:tcPr>
            <w:tcW w:type="dxa" w:w="2333"/>
            <w:vAlign w:val="center"/>
            <w:shd w:fill="F7F8FA"/>
          </w:tcPr>
          <w:p>
            <w:pPr>
              <w:keepNext w:val="0"/>
              <w:spacing w:after="0" w:line="254" w:lineRule="auto"/>
            </w:pPr>
            <w:r>
              <w:rPr>
                <w:rFonts w:ascii="Cambria" w:hAnsi="Cambria"/>
                <w:b w:val="0"/>
                <w:color w:val="000000"/>
                <w:sz w:val="21"/>
              </w:rPr>
              <w:t>2020 onward</w:t>
            </w:r>
          </w:p>
        </w:tc>
        <w:tc>
          <w:tcPr>
            <w:tcW w:type="dxa" w:w="7315"/>
            <w:vAlign w:val="center"/>
            <w:shd w:fill="F7F8FA"/>
          </w:tcPr>
          <w:p>
            <w:pPr>
              <w:keepNext w:val="0"/>
              <w:spacing w:after="0" w:line="254" w:lineRule="auto"/>
            </w:pPr>
            <w:r>
              <w:rPr>
                <w:rFonts w:ascii="Cambria" w:hAnsi="Cambria"/>
                <w:b w:val="0"/>
                <w:color w:val="000000"/>
                <w:sz w:val="21"/>
              </w:rPr>
              <w:t>Middlebury’s Abenaki language program begins [14]</w:t>
            </w:r>
          </w:p>
        </w:tc>
      </w:tr>
      <w:tr>
        <w:trPr>
          <w:cantSplit/>
        </w:trPr>
        <w:tc>
          <w:tcPr>
            <w:tcW w:type="dxa" w:w="2333"/>
            <w:vAlign w:val="center"/>
            <w:shd w:fill="FFFFFF"/>
          </w:tcPr>
          <w:p>
            <w:pPr>
              <w:keepNext w:val="0"/>
              <w:spacing w:after="0" w:line="254" w:lineRule="auto"/>
            </w:pPr>
            <w:r>
              <w:rPr>
                <w:rFonts w:ascii="Cambria" w:hAnsi="Cambria"/>
                <w:b w:val="0"/>
                <w:color w:val="000000"/>
                <w:sz w:val="21"/>
              </w:rPr>
              <w:t>2022</w:t>
            </w:r>
          </w:p>
        </w:tc>
        <w:tc>
          <w:tcPr>
            <w:tcW w:type="dxa" w:w="7315"/>
            <w:vAlign w:val="center"/>
            <w:shd w:fill="FFFFFF"/>
          </w:tcPr>
          <w:p>
            <w:pPr>
              <w:keepNext w:val="0"/>
              <w:spacing w:after="0" w:line="254" w:lineRule="auto"/>
            </w:pPr>
            <w:r>
              <w:rPr>
                <w:rFonts w:ascii="Cambria" w:hAnsi="Cambria"/>
                <w:b w:val="0"/>
                <w:color w:val="000000"/>
                <w:sz w:val="21"/>
              </w:rPr>
              <w:t>Quebec and the Abenaki tribal council announce a consultation framework [46]</w:t>
            </w:r>
          </w:p>
        </w:tc>
      </w:tr>
      <w:tr>
        <w:trPr>
          <w:cantSplit/>
        </w:trPr>
        <w:tc>
          <w:tcPr>
            <w:tcW w:type="dxa" w:w="2333"/>
            <w:vAlign w:val="center"/>
            <w:shd w:fill="F7F8FA"/>
          </w:tcPr>
          <w:p>
            <w:pPr>
              <w:keepNext w:val="0"/>
              <w:spacing w:after="0" w:line="254" w:lineRule="auto"/>
            </w:pPr>
            <w:r>
              <w:rPr>
                <w:rFonts w:ascii="Cambria" w:hAnsi="Cambria"/>
                <w:b w:val="0"/>
                <w:color w:val="000000"/>
                <w:sz w:val="21"/>
              </w:rPr>
              <w:t>2025</w:t>
            </w:r>
          </w:p>
        </w:tc>
        <w:tc>
          <w:tcPr>
            <w:tcW w:type="dxa" w:w="7315"/>
            <w:vAlign w:val="center"/>
            <w:shd w:fill="F7F8FA"/>
          </w:tcPr>
          <w:p>
            <w:pPr>
              <w:keepNext w:val="0"/>
              <w:spacing w:after="0" w:line="254" w:lineRule="auto"/>
            </w:pPr>
            <w:r>
              <w:rPr>
                <w:rFonts w:ascii="Cambria" w:hAnsi="Cambria"/>
                <w:b w:val="0"/>
                <w:color w:val="000000"/>
                <w:sz w:val="21"/>
              </w:rPr>
              <w:t>Odanak and W8linak publish a genealogical report; Odanak hosts a black ash gathering [38, 45]</w:t>
            </w:r>
          </w:p>
        </w:tc>
      </w:tr>
    </w:tbl>
    <w:p>
      <w:pPr>
        <w:spacing w:before="0" w:after="40" w:line="80" w:lineRule="exact"/>
      </w:pPr>
      <w:r>
        <w:rPr>
          <w:sz w:val="6"/>
        </w:rPr>
      </w:r>
    </w:p>
    <w:p>
      <w:pPr>
        <w:pStyle w:val="Heading1"/>
      </w:pPr>
      <w:r>
        <w:t>18 Questions for further study</w:t>
      </w:r>
    </w:p>
    <w:p>
      <w:pPr>
        <w:spacing w:after="100"/>
        <w:ind w:left="317" w:hanging="317"/>
      </w:pPr>
      <w:r>
        <w:t>1. How did rivers shape Abenaki settlement, food production and diplomacy?</w:t>
      </w:r>
    </w:p>
    <w:p>
      <w:pPr>
        <w:spacing w:after="100"/>
        <w:ind w:left="317" w:hanging="317"/>
      </w:pPr>
      <w:r>
        <w:t>2. How did planned seasonal movement differ from migration caused by war?</w:t>
      </w:r>
    </w:p>
    <w:p>
      <w:pPr>
        <w:spacing w:after="100"/>
        <w:ind w:left="317" w:hanging="317"/>
      </w:pPr>
      <w:r>
        <w:t>3. What did Abenaki communities seek from French alliances, and what did French officials seek from them?</w:t>
      </w:r>
    </w:p>
    <w:p>
      <w:pPr>
        <w:spacing w:after="100"/>
        <w:ind w:left="317" w:hanging="317"/>
      </w:pPr>
      <w:r>
        <w:t>4. What changes when the 1724 Norridgewock attack is studied through its residents rather than mainly through the missionary’s death?</w:t>
      </w:r>
    </w:p>
    <w:p>
      <w:pPr>
        <w:spacing w:after="100"/>
        <w:ind w:left="317" w:hanging="317"/>
      </w:pPr>
      <w:r>
        <w:t>5. What can the differing accounts of the 1759 attack establish, and what remains uncertain?</w:t>
      </w:r>
    </w:p>
    <w:p>
      <w:pPr>
        <w:spacing w:after="100"/>
        <w:ind w:left="317" w:hanging="317"/>
      </w:pPr>
      <w:r>
        <w:t>6. How do Joseph Laurent and Flora Masta change an account of language preservation centered on outside collectors?</w:t>
      </w:r>
    </w:p>
    <w:p>
      <w:pPr>
        <w:spacing w:after="100"/>
        <w:ind w:left="317" w:hanging="317"/>
      </w:pPr>
      <w:r>
        <w:t>7. What is the difference between a historical homeland, individual ancestry, community citizenship and government recognition?</w:t>
      </w:r>
    </w:p>
    <w:p>
      <w:pPr>
        <w:spacing w:after="100"/>
        <w:ind w:left="317" w:hanging="317"/>
      </w:pPr>
      <w:r>
        <w:t>8. Why are the restoration of ash trees and the teaching of basketry connected?</w:t>
      </w:r>
    </w:p>
    <w:p>
      <w:pPr>
        <w:pStyle w:val="Heading1"/>
        <w:pageBreakBefore/>
      </w:pPr>
      <w:r>
        <w:t>Sources and research notes</w:t>
      </w:r>
    </w:p>
    <w:p>
      <w:r>
        <w:t>The numbered references link passages to their evidence. Primary records and official statements are identified separately from scholarly interpretation and museum synthesis. Relevant online contents were checked during preparation. Linked catalog and publisher pages are labeled as such. Access to a website can change after this study is prepared.</w:t>
      </w:r>
    </w:p>
    <w:p>
      <w:pPr>
        <w:pStyle w:val="SourceNote"/>
      </w:pPr>
      <w:r>
        <w:rPr>
          <w:b/>
        </w:rPr>
        <w:t>[1]</w:t>
      </w:r>
      <w:r>
        <w:t xml:space="preserve"> Abbe Museum. About the Wabanaki Nations. Museum account developed around the living nations of the region. Used for distinctions among Wabanaki peoples, contemporary governments and the continued transmission of canoe knowledge.</w:t>
      </w:r>
    </w:p>
    <w:p>
      <w:pPr>
        <w:pStyle w:val="SourceURL"/>
      </w:pPr>
      <w:hyperlink r:id="rId11">
        <w:r>
          <w:rPr>
            <w:rFonts w:ascii="Calibri" w:hAnsi="Calibri"/>
            <w:sz w:val="20"/>
            <w:color w:val="000000"/>
            <w:u w:val="single"/>
          </w:rPr>
          <w:t>https://www.abbemuseum.org/about-the-wabanaki-nations</w:t>
        </w:r>
      </w:hyperlink>
    </w:p>
    <w:p>
      <w:pPr>
        <w:pStyle w:val="SourceNote"/>
      </w:pPr>
      <w:r>
        <w:rPr>
          <w:b/>
        </w:rPr>
        <w:t>[2]</w:t>
      </w:r>
      <w:r>
        <w:t xml:space="preserve"> Smithsonian National Anthropological Archives. John Peabody Harrington papers, Western Abnaki Eastern Abnaki Passamaquoddy, 1949 to about 1952. Archival catalog and finding aid entry for regional linguistic materials, not a complete published grammar.</w:t>
      </w:r>
    </w:p>
    <w:p>
      <w:pPr>
        <w:pStyle w:val="SourceURL"/>
      </w:pPr>
      <w:hyperlink r:id="rId12">
        <w:r>
          <w:rPr>
            <w:rFonts w:ascii="Calibri" w:hAnsi="Calibri"/>
            <w:sz w:val="20"/>
            <w:color w:val="000000"/>
            <w:u w:val="single"/>
          </w:rPr>
          <w:t>https://sova.si.edu/record/naa.1976-95/ref14822?q=Specifications</w:t>
        </w:r>
      </w:hyperlink>
    </w:p>
    <w:p>
      <w:pPr>
        <w:pStyle w:val="SourceNote"/>
      </w:pPr>
      <w:r>
        <w:rPr>
          <w:b/>
        </w:rPr>
        <w:t>[3]</w:t>
      </w:r>
      <w:r>
        <w:t xml:space="preserve"> Musée des Abénakis. Yesterday, Fort Odanak 1704 to 1759. Community museum synthesis of regional origins, naming and seasonal life.</w:t>
      </w:r>
    </w:p>
    <w:p>
      <w:pPr>
        <w:pStyle w:val="SourceURL"/>
      </w:pPr>
      <w:hyperlink r:id="rId13">
        <w:r>
          <w:rPr>
            <w:rFonts w:ascii="Calibri" w:hAnsi="Calibri"/>
            <w:sz w:val="20"/>
            <w:color w:val="000000"/>
            <w:u w:val="single"/>
          </w:rPr>
          <w:t>https://www.fort-odanak.ca/hier-yesterday-eng</w:t>
        </w:r>
      </w:hyperlink>
    </w:p>
    <w:p>
      <w:pPr>
        <w:pStyle w:val="SourceNote"/>
      </w:pPr>
      <w:r>
        <w:rPr>
          <w:b/>
        </w:rPr>
        <w:t>[4]</w:t>
      </w:r>
      <w:r>
        <w:t xml:space="preserve"> Musée des Abénakis. Les Abénakis au Québec. French language community museum account of food production, local institutions and members living outside the two communities.</w:t>
      </w:r>
    </w:p>
    <w:p>
      <w:pPr>
        <w:pStyle w:val="SourceURL"/>
      </w:pPr>
      <w:hyperlink r:id="rId14">
        <w:r>
          <w:rPr>
            <w:rFonts w:ascii="Calibri" w:hAnsi="Calibri"/>
            <w:sz w:val="20"/>
            <w:color w:val="000000"/>
            <w:u w:val="single"/>
          </w:rPr>
          <w:t>https://www.fort-odanak.ca/abenakis_quebec-abenaki_quebec-fra</w:t>
        </w:r>
      </w:hyperlink>
    </w:p>
    <w:p>
      <w:pPr>
        <w:pStyle w:val="SourceNote"/>
      </w:pPr>
      <w:r>
        <w:rPr>
          <w:b/>
        </w:rPr>
        <w:t>[5]</w:t>
      </w:r>
      <w:r>
        <w:t xml:space="preserve"> Margaret Bruchac. Wôbanaki Lifeways circa 1600. Pocumtuck Valley Memorial Association and Memorial Hall Museum. Historical synthesis used for family relationships, work and political organization. Broader Wôbanaki patterns should not be assumed identical in every community.</w:t>
      </w:r>
    </w:p>
    <w:p>
      <w:pPr>
        <w:pStyle w:val="SourceURL"/>
      </w:pPr>
      <w:hyperlink r:id="rId15">
        <w:r>
          <w:rPr>
            <w:rFonts w:ascii="Calibri" w:hAnsi="Calibri"/>
            <w:sz w:val="20"/>
            <w:color w:val="000000"/>
            <w:u w:val="single"/>
          </w:rPr>
          <w:t>https://deerfieldraid1704.org/scenes/nsscenes/lifeways/Wobanakiak.html</w:t>
        </w:r>
      </w:hyperlink>
    </w:p>
    <w:p>
      <w:pPr>
        <w:pStyle w:val="SourceNote"/>
      </w:pPr>
      <w:r>
        <w:rPr>
          <w:b/>
        </w:rPr>
        <w:t>[6]</w:t>
      </w:r>
      <w:r>
        <w:t xml:space="preserve"> Musée des Abénakis. Alsig8ntegkw. Museum account of the Saint-François River and archaeological evidence along its route.</w:t>
      </w:r>
    </w:p>
    <w:p>
      <w:pPr>
        <w:pStyle w:val="SourceURL"/>
      </w:pPr>
      <w:hyperlink r:id="rId16">
        <w:r>
          <w:rPr>
            <w:rFonts w:ascii="Calibri" w:hAnsi="Calibri"/>
            <w:sz w:val="20"/>
            <w:color w:val="000000"/>
            <w:u w:val="single"/>
          </w:rPr>
          <w:t>https://www.fort-odanak.ca/alsig8ntegkw-eng</w:t>
        </w:r>
      </w:hyperlink>
    </w:p>
    <w:p>
      <w:pPr>
        <w:pStyle w:val="SourceNote"/>
      </w:pPr>
      <w:r>
        <w:rPr>
          <w:b/>
        </w:rPr>
        <w:t>[7]</w:t>
      </w:r>
      <w:r>
        <w:t xml:space="preserve"> Musée des Abénakis. Major Temporal Phases. Archaeological and historical timeline. Used here for the early regional sequence; archaeological periods are distinguished from modern political identities.</w:t>
      </w:r>
    </w:p>
    <w:p>
      <w:pPr>
        <w:pStyle w:val="SourceURL"/>
      </w:pPr>
      <w:hyperlink r:id="rId17">
        <w:r>
          <w:rPr>
            <w:rFonts w:ascii="Calibri" w:hAnsi="Calibri"/>
            <w:sz w:val="20"/>
            <w:color w:val="000000"/>
            <w:u w:val="single"/>
          </w:rPr>
          <w:t>https://www.fort-odanak.ca/grandes_phases_temporelles-major_temporal_phases-eng</w:t>
        </w:r>
      </w:hyperlink>
    </w:p>
    <w:p>
      <w:pPr>
        <w:pStyle w:val="SourceNote"/>
      </w:pPr>
      <w:r>
        <w:rPr>
          <w:b/>
        </w:rPr>
        <w:t>[8]</w:t>
      </w:r>
      <w:r>
        <w:t xml:space="preserve"> Musée des Abénakis. The Abenaki between War and Peace. Archaeological findings from Odanak, including food remains, household features and modified trade goods.</w:t>
      </w:r>
    </w:p>
    <w:p>
      <w:pPr>
        <w:pStyle w:val="SourceURL"/>
      </w:pPr>
      <w:hyperlink r:id="rId18">
        <w:r>
          <w:rPr>
            <w:rFonts w:ascii="Calibri" w:hAnsi="Calibri"/>
            <w:sz w:val="20"/>
            <w:color w:val="000000"/>
            <w:u w:val="single"/>
          </w:rPr>
          <w:t>https://www.fort-odanak.ca/entre_guerre_paix-between_war_peace-eng</w:t>
        </w:r>
      </w:hyperlink>
    </w:p>
    <w:p>
      <w:pPr>
        <w:pStyle w:val="SourceNote"/>
      </w:pPr>
      <w:r>
        <w:rPr>
          <w:b/>
        </w:rPr>
        <w:t>[9]</w:t>
      </w:r>
      <w:r>
        <w:t xml:space="preserve"> Musée des Abénakis. An Archaeological Project and a Fort. Includes archaeologist Geneviève Treyvaud’s explanation of the project and community participation. Transcript and archaeological synthesis.</w:t>
      </w:r>
    </w:p>
    <w:p>
      <w:pPr>
        <w:pStyle w:val="SourceURL"/>
      </w:pPr>
      <w:hyperlink r:id="rId19">
        <w:r>
          <w:rPr>
            <w:rFonts w:ascii="Calibri" w:hAnsi="Calibri"/>
            <w:sz w:val="20"/>
            <w:color w:val="000000"/>
            <w:u w:val="single"/>
          </w:rPr>
          <w:t>https://fort-odanak.ca/projet_archeologique_fort-archaeological_project_fort-eng</w:t>
        </w:r>
      </w:hyperlink>
    </w:p>
    <w:p>
      <w:pPr>
        <w:pStyle w:val="SourceNote"/>
      </w:pPr>
      <w:r>
        <w:rPr>
          <w:b/>
        </w:rPr>
        <w:t>[10]</w:t>
      </w:r>
      <w:r>
        <w:t xml:space="preserve"> National Museum of the American Indian. Miniature basket with cover, catalog number 20/6877. Object record identifying Odanak attribution, approximate date, materials and collection history.</w:t>
      </w:r>
    </w:p>
    <w:p>
      <w:pPr>
        <w:pStyle w:val="SourceURL"/>
      </w:pPr>
      <w:hyperlink r:id="rId20">
        <w:r>
          <w:rPr>
            <w:rFonts w:ascii="Calibri" w:hAnsi="Calibri"/>
            <w:sz w:val="20"/>
            <w:color w:val="000000"/>
            <w:u w:val="single"/>
          </w:rPr>
          <w:t>https://americanindian.si.edu/collections-search/object/NMAI_220970</w:t>
        </w:r>
      </w:hyperlink>
    </w:p>
    <w:p>
      <w:pPr>
        <w:pStyle w:val="SourceNote"/>
      </w:pPr>
      <w:r>
        <w:rPr>
          <w:b/>
        </w:rPr>
        <w:t>[11]</w:t>
      </w:r>
      <w:r>
        <w:t xml:space="preserve"> Musée des Abénakis. Collection. Institutional account of archaeological, archival, historical and contemporary holdings.</w:t>
      </w:r>
    </w:p>
    <w:p>
      <w:pPr>
        <w:pStyle w:val="SourceURL"/>
      </w:pPr>
      <w:hyperlink r:id="rId21">
        <w:r>
          <w:rPr>
            <w:rFonts w:ascii="Calibri" w:hAnsi="Calibri"/>
            <w:sz w:val="20"/>
            <w:color w:val="000000"/>
            <w:u w:val="single"/>
          </w:rPr>
          <w:t>https://museeabenakis.ca/en/collection-en/</w:t>
        </w:r>
      </w:hyperlink>
    </w:p>
    <w:p>
      <w:pPr>
        <w:pStyle w:val="SourceNote"/>
      </w:pPr>
      <w:r>
        <w:rPr>
          <w:b/>
        </w:rPr>
        <w:t>[12]</w:t>
      </w:r>
      <w:r>
        <w:t xml:space="preserve"> University of New Hampshire Center for the Humanities. Abenaki Trails in College Brook Ravine. Used for explanatory language notes and spelling. The page is a university public humanities resource associated with a local trail naming project.</w:t>
      </w:r>
    </w:p>
    <w:p>
      <w:pPr>
        <w:pStyle w:val="SourceURL"/>
      </w:pPr>
      <w:hyperlink r:id="rId22">
        <w:r>
          <w:rPr>
            <w:rFonts w:ascii="Calibri" w:hAnsi="Calibri"/>
            <w:sz w:val="20"/>
            <w:color w:val="000000"/>
            <w:u w:val="single"/>
          </w:rPr>
          <w:t>https://cola.unh.edu/center-humanities/abenaki</w:t>
        </w:r>
      </w:hyperlink>
    </w:p>
    <w:p>
      <w:pPr>
        <w:pStyle w:val="SourceNote"/>
      </w:pPr>
      <w:r>
        <w:rPr>
          <w:b/>
        </w:rPr>
        <w:t>[13]</w:t>
      </w:r>
      <w:r>
        <w:t xml:space="preserve"> Joseph Laurent. New Familiar Abenakis and English Dialogues, 1884. Indigenous New England Digital Collections, Dawnland Voices. Includes an excerpt of Laurent’s preface and a contextual account. This page is not the full book.</w:t>
      </w:r>
    </w:p>
    <w:p>
      <w:pPr>
        <w:pStyle w:val="SourceURL"/>
      </w:pPr>
      <w:hyperlink r:id="rId23">
        <w:r>
          <w:rPr>
            <w:rFonts w:ascii="Calibri" w:hAnsi="Calibri"/>
            <w:sz w:val="20"/>
            <w:color w:val="000000"/>
            <w:u w:val="single"/>
          </w:rPr>
          <w:t>https://dawnlandvoices.org/collections/items/show/332</w:t>
        </w:r>
      </w:hyperlink>
    </w:p>
    <w:p>
      <w:pPr>
        <w:pStyle w:val="SourceNote"/>
      </w:pPr>
      <w:r>
        <w:rPr>
          <w:b/>
        </w:rPr>
        <w:t>[14]</w:t>
      </w:r>
      <w:r>
        <w:t xml:space="preserve"> Middlebury Language Schools. Middlebury College launches program to preserve Abenaki language, July 5, 2023. Institutional account reproducing reporting about the program begun in 2020. Used to document that initiative, not to verify participants’ genealogies.</w:t>
      </w:r>
    </w:p>
    <w:p>
      <w:pPr>
        <w:pStyle w:val="SourceURL"/>
      </w:pPr>
      <w:hyperlink r:id="rId24">
        <w:r>
          <w:rPr>
            <w:rFonts w:ascii="Calibri" w:hAnsi="Calibri"/>
            <w:sz w:val="20"/>
            <w:color w:val="000000"/>
            <w:u w:val="single"/>
          </w:rPr>
          <w:t>https://www.middlebury.edu/language-schools/blog/middlebury-college-launches-program-preserve-abenaki-language</w:t>
        </w:r>
      </w:hyperlink>
    </w:p>
    <w:p>
      <w:pPr>
        <w:pStyle w:val="SourceNote"/>
      </w:pPr>
      <w:r>
        <w:rPr>
          <w:b/>
        </w:rPr>
        <w:t>[15]</w:t>
      </w:r>
      <w:r>
        <w:t xml:space="preserve"> Penobscot Nation Cultural and Historic Preservation Department. Language Resources. Primary institutional description of its language teaching and online dictionary with audio.</w:t>
      </w:r>
    </w:p>
    <w:p>
      <w:pPr>
        <w:pStyle w:val="SourceURL"/>
      </w:pPr>
      <w:hyperlink r:id="rId25">
        <w:r>
          <w:rPr>
            <w:rFonts w:ascii="Calibri" w:hAnsi="Calibri"/>
            <w:sz w:val="20"/>
            <w:color w:val="000000"/>
            <w:u w:val="single"/>
          </w:rPr>
          <w:t>https://www.penobscotnation.org/services/cultural_historic_preservation/language_resources/index.php</w:t>
        </w:r>
      </w:hyperlink>
    </w:p>
    <w:p>
      <w:pPr>
        <w:pStyle w:val="SourceNote"/>
      </w:pPr>
      <w:r>
        <w:rPr>
          <w:b/>
        </w:rPr>
        <w:t>[16]</w:t>
      </w:r>
      <w:r>
        <w:t xml:space="preserve"> Plimoth Patuxet Museums. Arrival of Samoset, excerpt from Mourt’s Relation. Primary colonial account originally published in 1622, with modern museum context. Its promotional purpose and perspective are identified by the museum.</w:t>
      </w:r>
    </w:p>
    <w:p>
      <w:pPr>
        <w:pStyle w:val="SourceURL"/>
      </w:pPr>
      <w:hyperlink r:id="rId26">
        <w:r>
          <w:rPr>
            <w:rFonts w:ascii="Calibri" w:hAnsi="Calibri"/>
            <w:sz w:val="20"/>
            <w:color w:val="000000"/>
            <w:u w:val="single"/>
          </w:rPr>
          <w:t>https://plimoth.org/yath/unit-1/arrival-of-samoset-excerpt-from-mourts-relation</w:t>
        </w:r>
      </w:hyperlink>
    </w:p>
    <w:p>
      <w:pPr>
        <w:pStyle w:val="SourceNote"/>
      </w:pPr>
      <w:r>
        <w:rPr>
          <w:b/>
        </w:rPr>
        <w:t>[17]</w:t>
      </w:r>
      <w:r>
        <w:t xml:space="preserve"> National Museum of the American Indian. The First Thanksgiving timeline. Institutional synthesis used for early captivity and the wider New England context of King Philip’s War. Most of the timeline concerns Wampanoag history and is not treated as an Abenaki specific chronology throughout.</w:t>
      </w:r>
    </w:p>
    <w:p>
      <w:pPr>
        <w:pStyle w:val="SourceURL"/>
      </w:pPr>
      <w:hyperlink r:id="rId27">
        <w:r>
          <w:rPr>
            <w:rFonts w:ascii="Calibri" w:hAnsi="Calibri"/>
            <w:sz w:val="20"/>
            <w:color w:val="000000"/>
            <w:u w:val="single"/>
          </w:rPr>
          <w:t>https://americanindian.si.edu/nk360/thanksgiving/timeline.html</w:t>
        </w:r>
      </w:hyperlink>
    </w:p>
    <w:p>
      <w:pPr>
        <w:pStyle w:val="SourceNote"/>
      </w:pPr>
      <w:r>
        <w:rPr>
          <w:b/>
        </w:rPr>
        <w:t>[18]</w:t>
      </w:r>
      <w:r>
        <w:t xml:space="preserve"> Colin G. Calloway. Green Mountain Diaspora Indian Population Movements in Vermont circa 1600 to 1800. Vermont History 54, number 4, 1986, pages 193 to 228. Scholarly article on movement, war, disease and community reorganization. Open PDF.</w:t>
      </w:r>
    </w:p>
    <w:p>
      <w:pPr>
        <w:pStyle w:val="SourceURL"/>
      </w:pPr>
      <w:hyperlink r:id="rId28">
        <w:r>
          <w:rPr>
            <w:rFonts w:ascii="Calibri" w:hAnsi="Calibri"/>
            <w:sz w:val="20"/>
            <w:color w:val="000000"/>
            <w:u w:val="single"/>
          </w:rPr>
          <w:t>https://vermonthistory.org/journal/misc/GreenMountainDiaspora.pdf</w:t>
        </w:r>
      </w:hyperlink>
    </w:p>
    <w:p>
      <w:pPr>
        <w:pStyle w:val="SourceNote"/>
      </w:pPr>
      <w:r>
        <w:rPr>
          <w:b/>
        </w:rPr>
        <w:t>[19]</w:t>
      </w:r>
      <w:r>
        <w:t xml:space="preserve"> Olive Patricia Dickason. The French and the Abenaki A Study in Frontier Politics. Vermont History 58, number 2, 1990, pages 82 to 98. Scholarly analysis of the interests and limits of French Abenaki alliances. Open PDF.</w:t>
      </w:r>
    </w:p>
    <w:p>
      <w:pPr>
        <w:pStyle w:val="SourceURL"/>
      </w:pPr>
      <w:hyperlink r:id="rId29">
        <w:r>
          <w:rPr>
            <w:rFonts w:ascii="Calibri" w:hAnsi="Calibri"/>
            <w:sz w:val="20"/>
            <w:color w:val="000000"/>
            <w:u w:val="single"/>
          </w:rPr>
          <w:t>https://vermonthistory.org/journal/misc/FrenchAndAbenaki.pdf</w:t>
        </w:r>
      </w:hyperlink>
    </w:p>
    <w:p>
      <w:pPr>
        <w:pStyle w:val="SourceNote"/>
      </w:pPr>
      <w:r>
        <w:rPr>
          <w:b/>
        </w:rPr>
        <w:t>[20]</w:t>
      </w:r>
      <w:r>
        <w:t xml:space="preserve"> Pocumtuck Valley Memorial Association. Native Diaspora and New Communities Algonkian and Wôbanakiak. Historical synthesis with further reading, explaining refuge, kinship and repeated movement.</w:t>
      </w:r>
    </w:p>
    <w:p>
      <w:pPr>
        <w:pStyle w:val="SourceURL"/>
      </w:pPr>
      <w:hyperlink r:id="rId30">
        <w:r>
          <w:rPr>
            <w:rFonts w:ascii="Calibri" w:hAnsi="Calibri"/>
            <w:sz w:val="20"/>
            <w:color w:val="000000"/>
            <w:u w:val="single"/>
          </w:rPr>
          <w:t>https://deerfieldraid1704.org/popups/background/expDiasporaAlg.html</w:t>
        </w:r>
      </w:hyperlink>
    </w:p>
    <w:p>
      <w:pPr>
        <w:pStyle w:val="SourceNote"/>
      </w:pPr>
      <w:r>
        <w:rPr>
          <w:b/>
        </w:rPr>
        <w:t>[21]</w:t>
      </w:r>
      <w:r>
        <w:t xml:space="preserve"> Pocumtuck Valley Memorial Association. Founding New Communities Odanak. Historical synthesis of the settlement, mission, fortification, alliances and diverse population.</w:t>
      </w:r>
    </w:p>
    <w:p>
      <w:pPr>
        <w:pStyle w:val="SourceURL"/>
      </w:pPr>
      <w:hyperlink r:id="rId31">
        <w:r>
          <w:rPr>
            <w:rFonts w:ascii="Calibri" w:hAnsi="Calibri"/>
            <w:sz w:val="20"/>
            <w:color w:val="000000"/>
            <w:u w:val="single"/>
          </w:rPr>
          <w:t>https://deerfieldraid1704.org/scenes/nsscenes/founding/foundOdanak.html</w:t>
        </w:r>
      </w:hyperlink>
    </w:p>
    <w:p>
      <w:pPr>
        <w:pStyle w:val="SourceNote"/>
      </w:pPr>
      <w:r>
        <w:rPr>
          <w:b/>
        </w:rPr>
        <w:t>[22]</w:t>
      </w:r>
      <w:r>
        <w:t xml:space="preserve"> The Jesuit Relations and Allied Documents, volume 67, edited by Reuben Gold Thwaites, 1900. Creighton University electronic transcription. Includes translated French official and missionary correspondence from 1721 to 1724. These are edited and translated primary texts whose missionary and imperial purposes require scrutiny.</w:t>
      </w:r>
    </w:p>
    <w:p>
      <w:pPr>
        <w:pStyle w:val="SourceURL"/>
      </w:pPr>
      <w:hyperlink r:id="rId32">
        <w:r>
          <w:rPr>
            <w:rFonts w:ascii="Calibri" w:hAnsi="Calibri"/>
            <w:sz w:val="20"/>
            <w:color w:val="000000"/>
            <w:u w:val="single"/>
          </w:rPr>
          <w:t>https://moses.creighton.edu/kripke/jesuitrelations/relations_67.html</w:t>
        </w:r>
      </w:hyperlink>
    </w:p>
    <w:p>
      <w:pPr>
        <w:pStyle w:val="SourceNote"/>
      </w:pPr>
      <w:r>
        <w:rPr>
          <w:b/>
        </w:rPr>
        <w:t>[23]</w:t>
      </w:r>
      <w:r>
        <w:t xml:space="preserve"> Colin G. Calloway. The Conquest of Vermont Vermont’s Indian Troubles in Context. Vermont History 52, number 3, 1984, pages 160 to 179. Scholarly article used for Gray Lock, the Deerfield raid and the chronology of imperial warfare. Open PDF.</w:t>
      </w:r>
    </w:p>
    <w:p>
      <w:pPr>
        <w:pStyle w:val="SourceURL"/>
      </w:pPr>
      <w:hyperlink r:id="rId33">
        <w:r>
          <w:rPr>
            <w:rFonts w:ascii="Calibri" w:hAnsi="Calibri"/>
            <w:sz w:val="20"/>
            <w:color w:val="000000"/>
            <w:u w:val="single"/>
          </w:rPr>
          <w:t>https://vermonthistory.org/journal/misc/ConquestOfVermont.pdf</w:t>
        </w:r>
      </w:hyperlink>
    </w:p>
    <w:p>
      <w:pPr>
        <w:pStyle w:val="SourceNote"/>
      </w:pPr>
      <w:r>
        <w:rPr>
          <w:b/>
        </w:rPr>
        <w:t>[24]</w:t>
      </w:r>
      <w:r>
        <w:t xml:space="preserve"> Kenneth M. Morrison. Norridgewock Archaeological Site, National Register nomination, 1972. National Park Service. Historic preservation research used for the Kennebec community, missionary connections and the August 23, 1724 attack. Some interpretive language reflects its period of preparation.</w:t>
      </w:r>
    </w:p>
    <w:p>
      <w:pPr>
        <w:pStyle w:val="SourceURL"/>
      </w:pPr>
      <w:hyperlink r:id="rId34">
        <w:r>
          <w:rPr>
            <w:rFonts w:ascii="Calibri" w:hAnsi="Calibri"/>
            <w:sz w:val="20"/>
            <w:color w:val="000000"/>
            <w:u w:val="single"/>
          </w:rPr>
          <w:t>https://npgallery.nps.gov/NRHP/GetAsset/NRHP/73000147_text</w:t>
        </w:r>
      </w:hyperlink>
    </w:p>
    <w:p>
      <w:pPr>
        <w:pStyle w:val="SourceNote"/>
      </w:pPr>
      <w:r>
        <w:rPr>
          <w:b/>
        </w:rPr>
        <w:t>[25]</w:t>
      </w:r>
      <w:r>
        <w:t xml:space="preserve"> Musée des Abénakis. The River Burns. Museum account comparing British and French reports of the 1759 raid. Used with explicit attribution of the conflicting casualty figures.</w:t>
      </w:r>
    </w:p>
    <w:p>
      <w:pPr>
        <w:pStyle w:val="SourceURL"/>
      </w:pPr>
      <w:hyperlink r:id="rId35">
        <w:r>
          <w:rPr>
            <w:rFonts w:ascii="Calibri" w:hAnsi="Calibri"/>
            <w:sz w:val="20"/>
            <w:color w:val="000000"/>
            <w:u w:val="single"/>
          </w:rPr>
          <w:t>https://www.fort-odanak.ca/riviere_brule-river_burns-eng</w:t>
        </w:r>
      </w:hyperlink>
    </w:p>
    <w:p>
      <w:pPr>
        <w:pStyle w:val="SourceNote"/>
      </w:pPr>
      <w:r>
        <w:rPr>
          <w:b/>
        </w:rPr>
        <w:t>[26]</w:t>
      </w:r>
      <w:r>
        <w:t xml:space="preserve"> Vermont Historical Society. Abenaki teacher guide, 1998. Used selectively for its named Obomsawin family history and account of Elvine Obomsawin Royce’s recorded tradition. It is an educational synthesis, not an independent resolution of current recognition disputes. Open PDF.</w:t>
      </w:r>
    </w:p>
    <w:p>
      <w:pPr>
        <w:pStyle w:val="SourceURL"/>
      </w:pPr>
      <w:hyperlink r:id="rId36">
        <w:r>
          <w:rPr>
            <w:rFonts w:ascii="Calibri" w:hAnsi="Calibri"/>
            <w:sz w:val="20"/>
            <w:color w:val="000000"/>
            <w:u w:val="single"/>
          </w:rPr>
          <w:t>https://vermonthistory.org/client_media/files/Learn/Lending%20Kits/VHSAbenakiteacherguide1998.pdf</w:t>
        </w:r>
      </w:hyperlink>
    </w:p>
    <w:p>
      <w:pPr>
        <w:pStyle w:val="SourceNote"/>
      </w:pPr>
      <w:r>
        <w:rPr>
          <w:b/>
        </w:rPr>
        <w:t>[27]</w:t>
      </w:r>
      <w:r>
        <w:t xml:space="preserve"> Musée des Abénakis. Today, Fort Odanak 1704 to 1759. Museum synthesis of reconstruction after the raid and later colonial assimilation policies. Its broad undated population estimate was not used in place of the dated government table.</w:t>
      </w:r>
    </w:p>
    <w:p>
      <w:pPr>
        <w:pStyle w:val="SourceURL"/>
      </w:pPr>
      <w:hyperlink r:id="rId37">
        <w:r>
          <w:rPr>
            <w:rFonts w:ascii="Calibri" w:hAnsi="Calibri"/>
            <w:sz w:val="20"/>
            <w:color w:val="000000"/>
            <w:u w:val="single"/>
          </w:rPr>
          <w:t>https://www.fort-odanak.ca/aujourdhui-today-eng</w:t>
        </w:r>
      </w:hyperlink>
    </w:p>
    <w:p>
      <w:pPr>
        <w:pStyle w:val="SourceNote"/>
      </w:pPr>
      <w:r>
        <w:rPr>
          <w:b/>
        </w:rPr>
        <w:t>[28]</w:t>
      </w:r>
      <w:r>
        <w:t xml:space="preserve"> Colin G. Calloway. Odanak Abenaki Ambiguity in the North. Chapter 2 of The American Revolution in Indian Country, Cambridge University Press, 1995, pages 65 to 84. The publicly available chapter summary was consulted; full chapter access is restricted.</w:t>
      </w:r>
    </w:p>
    <w:p>
      <w:pPr>
        <w:pStyle w:val="SourceURL"/>
      </w:pPr>
      <w:hyperlink r:id="rId38">
        <w:r>
          <w:rPr>
            <w:rFonts w:ascii="Calibri" w:hAnsi="Calibri"/>
            <w:sz w:val="20"/>
            <w:color w:val="000000"/>
            <w:u w:val="single"/>
          </w:rPr>
          <w:t>https://www.cambridge.org/core/books/abs/american-revolution-in-indian-country/odanak-abenaki-ambiguity-in-the-north/196A585B555E76B360BD4DC39BE1A706</w:t>
        </w:r>
      </w:hyperlink>
    </w:p>
    <w:p>
      <w:pPr>
        <w:pStyle w:val="SourceNote"/>
      </w:pPr>
      <w:r>
        <w:rPr>
          <w:b/>
        </w:rPr>
        <w:t>[29]</w:t>
      </w:r>
      <w:r>
        <w:t xml:space="preserve"> Indigenous Services Canada. The Final Report to Parliament on the Review of S 3, December 2020. Primary government report describing historical sex discrimination in registration and the reforms assessed at that date.</w:t>
      </w:r>
    </w:p>
    <w:p>
      <w:pPr>
        <w:pStyle w:val="SourceURL"/>
      </w:pPr>
      <w:hyperlink r:id="rId39">
        <w:r>
          <w:rPr>
            <w:rFonts w:ascii="Calibri" w:hAnsi="Calibri"/>
            <w:sz w:val="20"/>
            <w:color w:val="000000"/>
            <w:u w:val="single"/>
          </w:rPr>
          <w:t>https://sac-isc.gc.ca/eng/1608831631597/1608832913476</w:t>
        </w:r>
      </w:hyperlink>
    </w:p>
    <w:p>
      <w:pPr>
        <w:pStyle w:val="SourceNote"/>
      </w:pPr>
      <w:r>
        <w:rPr>
          <w:b/>
        </w:rPr>
        <w:t>[30]</w:t>
      </w:r>
      <w:r>
        <w:t xml:space="preserve"> National Archives and Records Administration. Flora Sadie Masta Student File. Carlisle Indian School Digital Resource Center, Dickinson College, Record Group 75, series 1327, box 58, folder 2936. Primary administrative file with an archival description.</w:t>
      </w:r>
    </w:p>
    <w:p>
      <w:pPr>
        <w:pStyle w:val="SourceURL"/>
      </w:pPr>
      <w:hyperlink r:id="rId40">
        <w:r>
          <w:rPr>
            <w:rFonts w:ascii="Calibri" w:hAnsi="Calibri"/>
            <w:sz w:val="20"/>
            <w:color w:val="000000"/>
            <w:u w:val="single"/>
          </w:rPr>
          <w:t>https://carlisleindian.dickinson.edu/student_files/flora-sadie-masta-student-file</w:t>
        </w:r>
      </w:hyperlink>
    </w:p>
    <w:p>
      <w:pPr>
        <w:pStyle w:val="SourceNote"/>
      </w:pPr>
      <w:r>
        <w:rPr>
          <w:b/>
        </w:rPr>
        <w:t>[31]</w:t>
      </w:r>
      <w:r>
        <w:t xml:space="preserve"> Smithsonian National Anthropological Archives. Notes on Algonquian languages collected by Truman Michelson at Carlisle Indian Industrial School, 1911 to 1912, manuscript 2703. Finding aid identifying Flora Masta’s contribution. The finding aid describes the original notes rather than reproducing them in full.</w:t>
      </w:r>
    </w:p>
    <w:p>
      <w:pPr>
        <w:pStyle w:val="SourceURL"/>
      </w:pPr>
      <w:hyperlink r:id="rId41">
        <w:r>
          <w:rPr>
            <w:rFonts w:ascii="Calibri" w:hAnsi="Calibri"/>
            <w:sz w:val="20"/>
            <w:color w:val="000000"/>
            <w:u w:val="single"/>
          </w:rPr>
          <w:t>https://sirismm.si.edu/EADpdfs/NAA.MS2703.pdf</w:t>
        </w:r>
      </w:hyperlink>
    </w:p>
    <w:p>
      <w:pPr>
        <w:pStyle w:val="SourceNote"/>
      </w:pPr>
      <w:r>
        <w:rPr>
          <w:b/>
        </w:rPr>
        <w:t>[32]</w:t>
      </w:r>
      <w:r>
        <w:t xml:space="preserve"> Nancy L. Gallagher and Hope Greenberg, University of Vermont. Vermont Eugenics A Documentary History, Background and Purpose. Scholarly public history project with archival sources; used for the survey’s dates, leadership and the 1931 law.</w:t>
      </w:r>
    </w:p>
    <w:p>
      <w:pPr>
        <w:pStyle w:val="SourceURL"/>
      </w:pPr>
      <w:hyperlink r:id="rId42">
        <w:r>
          <w:rPr>
            <w:rFonts w:ascii="Calibri" w:hAnsi="Calibri"/>
            <w:sz w:val="20"/>
            <w:color w:val="000000"/>
            <w:u w:val="single"/>
          </w:rPr>
          <w:t>https://www.uvm.edu/~eugenics/background.html</w:t>
        </w:r>
      </w:hyperlink>
    </w:p>
    <w:p>
      <w:pPr>
        <w:pStyle w:val="SourceNote"/>
      </w:pPr>
      <w:r>
        <w:rPr>
          <w:b/>
        </w:rPr>
        <w:t>[33]</w:t>
      </w:r>
      <w:r>
        <w:t xml:space="preserve"> U.S. Department of the Interior, Office of Federal Acknowledgment. Final Determination concerning the St. Francis/Sokoki Band of Abenakis of Vermont, petitioner 68, 2007. Primary administrative determination, including evaluation under the mandatory criteria. Open PDF.</w:t>
      </w:r>
    </w:p>
    <w:p>
      <w:pPr>
        <w:pStyle w:val="SourceURL"/>
      </w:pPr>
      <w:hyperlink r:id="rId43">
        <w:r>
          <w:rPr>
            <w:rFonts w:ascii="Calibri" w:hAnsi="Calibri"/>
            <w:sz w:val="20"/>
            <w:color w:val="000000"/>
            <w:u w:val="single"/>
          </w:rPr>
          <w:t>https://www.bia.gov/sites/default/files/dup/assets/as-ia/ofa/petition/068_sfaben_VT/068_fd.pdf</w:t>
        </w:r>
      </w:hyperlink>
    </w:p>
    <w:p>
      <w:pPr>
        <w:pStyle w:val="SourceNote"/>
      </w:pPr>
      <w:r>
        <w:rPr>
          <w:b/>
        </w:rPr>
        <w:t>[34]</w:t>
      </w:r>
      <w:r>
        <w:t xml:space="preserve"> Vermont General Assembly. Title 1, chapter 23, Native American Indian People, including sections 851 through 856. Primary statute text, with recognition criteria, legal limits and the four organizations’ recognition dates. The online version states that it includes actions of the 2025 legislative session.</w:t>
      </w:r>
    </w:p>
    <w:p>
      <w:pPr>
        <w:pStyle w:val="SourceURL"/>
      </w:pPr>
      <w:hyperlink r:id="rId44">
        <w:r>
          <w:rPr>
            <w:rFonts w:ascii="Calibri" w:hAnsi="Calibri"/>
            <w:sz w:val="20"/>
            <w:color w:val="000000"/>
            <w:u w:val="single"/>
          </w:rPr>
          <w:t>https://legislature.vermont.gov/statutes/fullchapter/01/023</w:t>
        </w:r>
      </w:hyperlink>
    </w:p>
    <w:p>
      <w:pPr>
        <w:pStyle w:val="SourceNote"/>
      </w:pPr>
      <w:r>
        <w:rPr>
          <w:b/>
        </w:rPr>
        <w:t>[35]</w:t>
      </w:r>
      <w:r>
        <w:t xml:space="preserve"> Darryl Leroux. State Recognition and the Dangers of Race Shifting The Case of Vermont. American Indian Culture and Research Journal 46, number 2, 2023. Peer reviewed research with a genealogical appendix and references. Its conclusions are attributed in the study. Open PDF.</w:t>
      </w:r>
    </w:p>
    <w:p>
      <w:pPr>
        <w:pStyle w:val="SourceURL"/>
      </w:pPr>
      <w:hyperlink r:id="rId45">
        <w:r>
          <w:rPr>
            <w:rFonts w:ascii="Calibri" w:hAnsi="Calibri"/>
            <w:sz w:val="20"/>
            <w:color w:val="000000"/>
            <w:u w:val="single"/>
          </w:rPr>
          <w:t>https://escholarship.org/content/qt5gr0t78t/qt5gr0t78t.pdf</w:t>
        </w:r>
      </w:hyperlink>
    </w:p>
    <w:p>
      <w:pPr>
        <w:pStyle w:val="SourceNote"/>
      </w:pPr>
      <w:r>
        <w:rPr>
          <w:b/>
        </w:rPr>
        <w:t>[36]</w:t>
      </w:r>
      <w:r>
        <w:t xml:space="preserve"> Abenaki Councils of Odanak and W8linak and W8banaki. Abenaki Heritage declaration. Primary statement of their position on identity, genealogy and Vermont organizations. It is an official position, not a neutral account of every disputed claim.</w:t>
      </w:r>
    </w:p>
    <w:p>
      <w:pPr>
        <w:pStyle w:val="SourceURL"/>
      </w:pPr>
      <w:hyperlink r:id="rId46">
        <w:r>
          <w:rPr>
            <w:rFonts w:ascii="Calibri" w:hAnsi="Calibri"/>
            <w:sz w:val="20"/>
            <w:color w:val="000000"/>
            <w:u w:val="single"/>
          </w:rPr>
          <w:t>https://abenakiheritage.org/</w:t>
        </w:r>
      </w:hyperlink>
    </w:p>
    <w:p>
      <w:pPr>
        <w:pStyle w:val="SourceNote"/>
      </w:pPr>
      <w:r>
        <w:rPr>
          <w:b/>
        </w:rPr>
        <w:t>[37]</w:t>
      </w:r>
      <w:r>
        <w:t xml:space="preserve"> Jeanne Morningstar Kent. The Not so Invisible Border, March 26, 2022, republished April 30, 2022 by the Abenaki Arts and Education Center. Primary participant response defending Vermont recognition and challenging critics. The author identifies it as her own work and notes that it had not been thoroughly vetted.</w:t>
      </w:r>
    </w:p>
    <w:p>
      <w:pPr>
        <w:pStyle w:val="SourceURL"/>
      </w:pPr>
      <w:hyperlink r:id="rId47">
        <w:r>
          <w:rPr>
            <w:rFonts w:ascii="Calibri" w:hAnsi="Calibri"/>
            <w:sz w:val="20"/>
            <w:color w:val="000000"/>
            <w:u w:val="single"/>
          </w:rPr>
          <w:t>https://abenaki-edu.org/the-not-so-invisible-border/</w:t>
        </w:r>
      </w:hyperlink>
    </w:p>
    <w:p>
      <w:pPr>
        <w:pStyle w:val="SourceNote"/>
      </w:pPr>
      <w:r>
        <w:rPr>
          <w:b/>
        </w:rPr>
        <w:t>[38]</w:t>
      </w:r>
      <w:r>
        <w:t xml:space="preserve"> Abenaki Councils of Odanak and W8linak. Genealogy Research Project, 2025. Commissioned genealogical report and supporting lineages. The research summary and description of methods were consulted for this study, rather than every lineage in the full 730 page file.</w:t>
      </w:r>
    </w:p>
    <w:p>
      <w:pPr>
        <w:pStyle w:val="SourceURL"/>
      </w:pPr>
      <w:hyperlink r:id="rId48">
        <w:r>
          <w:rPr>
            <w:rFonts w:ascii="Calibri" w:hAnsi="Calibri"/>
            <w:sz w:val="20"/>
            <w:color w:val="000000"/>
            <w:u w:val="single"/>
          </w:rPr>
          <w:t>https://abenakiheritage.org/wp-content/uploads/2025/09/rapport_final_genealogies.pdf</w:t>
        </w:r>
      </w:hyperlink>
    </w:p>
    <w:p>
      <w:pPr>
        <w:pStyle w:val="SourceNote"/>
      </w:pPr>
      <w:r>
        <w:rPr>
          <w:b/>
        </w:rPr>
        <w:t>[39]</w:t>
      </w:r>
      <w:r>
        <w:t xml:space="preserve"> Government of Quebec. Populations autochtones au Québec, statistics dated December 31, 2025. Primary administrative population table for Odanak and Wôlinak, distinguishing residents from nonresidents.</w:t>
      </w:r>
    </w:p>
    <w:p>
      <w:pPr>
        <w:pStyle w:val="SourceURL"/>
      </w:pPr>
      <w:hyperlink r:id="rId49">
        <w:r>
          <w:rPr>
            <w:rFonts w:ascii="Calibri" w:hAnsi="Calibri"/>
            <w:sz w:val="20"/>
            <w:color w:val="000000"/>
            <w:u w:val="single"/>
          </w:rPr>
          <w:t>https://www.quebec.ca/gouvernement/portrait-quebec/premieres-nations-inuits/profil-des-nations/populations-autochtones-du-quebec</w:t>
        </w:r>
      </w:hyperlink>
    </w:p>
    <w:p>
      <w:pPr>
        <w:pStyle w:val="SourceNote"/>
      </w:pPr>
      <w:r>
        <w:rPr>
          <w:b/>
        </w:rPr>
        <w:t>[40]</w:t>
      </w:r>
      <w:r>
        <w:t xml:space="preserve"> Government of Quebec. Abenaki, profile of the nation, updated May 22, 2025. Institutional synthesis used for basketry, seasonal selling and community institutions. The study uses the newer dated population table in reference 39 instead of this page’s older population figure.</w:t>
      </w:r>
    </w:p>
    <w:p>
      <w:pPr>
        <w:pStyle w:val="SourceURL"/>
      </w:pPr>
      <w:hyperlink r:id="rId50">
        <w:r>
          <w:rPr>
            <w:rFonts w:ascii="Calibri" w:hAnsi="Calibri"/>
            <w:sz w:val="20"/>
            <w:color w:val="000000"/>
            <w:u w:val="single"/>
          </w:rPr>
          <w:t>https://www.quebec.ca/en/government/quebec-at-a-glance/first-nations-and-inuit/profile-of-the-nations/abenakis</w:t>
        </w:r>
      </w:hyperlink>
    </w:p>
    <w:p>
      <w:pPr>
        <w:pStyle w:val="SourceNote"/>
      </w:pPr>
      <w:r>
        <w:rPr>
          <w:b/>
        </w:rPr>
        <w:t>[41]</w:t>
      </w:r>
      <w:r>
        <w:t xml:space="preserve"> First Nations Education Council. Kiuna a Leader for the Past Ten Years, 2021. Primary institutional account of the college’s opening, educational purpose and recognized programs. Open PDF.</w:t>
      </w:r>
    </w:p>
    <w:p>
      <w:pPr>
        <w:pStyle w:val="SourceURL"/>
      </w:pPr>
      <w:hyperlink r:id="rId51">
        <w:r>
          <w:rPr>
            <w:rFonts w:ascii="Calibri" w:hAnsi="Calibri"/>
            <w:sz w:val="20"/>
            <w:color w:val="000000"/>
            <w:u w:val="single"/>
          </w:rPr>
          <w:t>https://cepn-fnec.ca/en/wp-content/uploads/2021/02/kiuna-eng.pdf</w:t>
        </w:r>
      </w:hyperlink>
    </w:p>
    <w:p>
      <w:pPr>
        <w:pStyle w:val="SourceNote"/>
      </w:pPr>
      <w:r>
        <w:rPr>
          <w:b/>
        </w:rPr>
        <w:t>[42]</w:t>
      </w:r>
      <w:r>
        <w:t xml:space="preserve"> Musée des Abénakis. About the Museum. Primary institutional history and mission, identifying its establishment in 1965.</w:t>
      </w:r>
    </w:p>
    <w:p>
      <w:pPr>
        <w:pStyle w:val="SourceURL"/>
      </w:pPr>
      <w:hyperlink r:id="rId52">
        <w:r>
          <w:rPr>
            <w:rFonts w:ascii="Calibri" w:hAnsi="Calibri"/>
            <w:sz w:val="20"/>
            <w:color w:val="000000"/>
            <w:u w:val="single"/>
          </w:rPr>
          <w:t>https://museeabenakis.ca/en/about-the-museum/</w:t>
        </w:r>
      </w:hyperlink>
    </w:p>
    <w:p>
      <w:pPr>
        <w:pStyle w:val="SourceNote"/>
      </w:pPr>
      <w:r>
        <w:rPr>
          <w:b/>
        </w:rPr>
        <w:t>[43]</w:t>
      </w:r>
      <w:r>
        <w:t xml:space="preserve"> Jason Ryle. Where the Sun Rises The Films of Alanis Obomsawin. National Film Board of Canada, October 15, 2019. Curatorial essay by an Indigenous film programmer, used for Obomsawin’s background and working approach.</w:t>
      </w:r>
    </w:p>
    <w:p>
      <w:pPr>
        <w:pStyle w:val="SourceURL"/>
      </w:pPr>
      <w:hyperlink r:id="rId53">
        <w:r>
          <w:rPr>
            <w:rFonts w:ascii="Calibri" w:hAnsi="Calibri"/>
            <w:sz w:val="20"/>
            <w:color w:val="000000"/>
            <w:u w:val="single"/>
          </w:rPr>
          <w:t>https://blog.nfb.ca/blog/2019/10/15/alanis-obomsawin-an-overview-of-a-cinematic-legacy/</w:t>
        </w:r>
      </w:hyperlink>
    </w:p>
    <w:p>
      <w:pPr>
        <w:pStyle w:val="SourceNote"/>
      </w:pPr>
      <w:r>
        <w:rPr>
          <w:b/>
        </w:rPr>
        <w:t>[44]</w:t>
      </w:r>
      <w:r>
        <w:t xml:space="preserve"> Musée des Abénakis. Exhibits. Primary institutional descriptions of the creation story exhibition and the 2026 exhibitions of Christine Sioui Wawanoloath, Denys Bernard and Dylan Dufresne.</w:t>
      </w:r>
    </w:p>
    <w:p>
      <w:pPr>
        <w:pStyle w:val="SourceURL"/>
      </w:pPr>
      <w:hyperlink r:id="rId54">
        <w:r>
          <w:rPr>
            <w:rFonts w:ascii="Calibri" w:hAnsi="Calibri"/>
            <w:sz w:val="20"/>
            <w:color w:val="000000"/>
            <w:u w:val="single"/>
          </w:rPr>
          <w:t>https://museeabenakis.ca/en/trade-shows/</w:t>
        </w:r>
      </w:hyperlink>
    </w:p>
    <w:p>
      <w:pPr>
        <w:pStyle w:val="SourceNote"/>
      </w:pPr>
      <w:r>
        <w:rPr>
          <w:b/>
        </w:rPr>
        <w:t>[45]</w:t>
      </w:r>
      <w:r>
        <w:t xml:space="preserve"> University of Maine, Ash Protection Collaboration Across Waponahkik. Highlights from the 2025 Black Ash and Basketry Gathering, November 5, 2025. Firsthand institutional report of the Odanak gathering and ecological and cultural work.</w:t>
      </w:r>
    </w:p>
    <w:p>
      <w:pPr>
        <w:pStyle w:val="SourceURL"/>
      </w:pPr>
      <w:hyperlink r:id="rId55">
        <w:r>
          <w:rPr>
            <w:rFonts w:ascii="Calibri" w:hAnsi="Calibri"/>
            <w:sz w:val="20"/>
            <w:color w:val="000000"/>
            <w:u w:val="single"/>
          </w:rPr>
          <w:t>https://umaine.edu/apcaw/2025/11/05/highlights-from-the-2025-black-ash-and-basketry-gathering/</w:t>
        </w:r>
      </w:hyperlink>
    </w:p>
    <w:p>
      <w:pPr>
        <w:pStyle w:val="SourceNote"/>
      </w:pPr>
      <w:r>
        <w:rPr>
          <w:b/>
        </w:rPr>
        <w:t>[46]</w:t>
      </w:r>
      <w:r>
        <w:t xml:space="preserve"> Government of Quebec. The Québec Government and the Abenaki Sign a Consultation and Accommodation Agreement, June 23, 2022. Primary announcement with statements from the participating parties.</w:t>
      </w:r>
    </w:p>
    <w:p>
      <w:pPr>
        <w:pStyle w:val="SourceURL"/>
      </w:pPr>
      <w:hyperlink r:id="rId56">
        <w:r>
          <w:rPr>
            <w:rFonts w:ascii="Calibri" w:hAnsi="Calibri"/>
            <w:sz w:val="20"/>
            <w:color w:val="000000"/>
            <w:u w:val="single"/>
          </w:rPr>
          <w:t>https://www.quebec.ca/en/news/actualites/detail/the-quebec-government-and-the-abenaki-sign-a-consultation-and-accommodation-agreement-41856</w:t>
        </w:r>
      </w:hyperlink>
    </w:p>
    <w:p>
      <w:pPr>
        <w:pStyle w:val="SourceNote"/>
      </w:pPr>
      <w:r>
        <w:rPr>
          <w:b/>
        </w:rPr>
        <w:t>[49]</w:t>
      </w:r>
      <w:r>
        <w:t xml:space="preserve"> Abbe Museum. People of the First Light. Museum description of an exhibition combining oral traditions, personal accounts, cultural knowledge and material evidence across the long history of the Wabanaki homeland.</w:t>
      </w:r>
    </w:p>
    <w:p>
      <w:pPr>
        <w:pStyle w:val="SourceURL"/>
      </w:pPr>
      <w:hyperlink r:id="rId57">
        <w:r>
          <w:rPr>
            <w:rFonts w:ascii="Calibri" w:hAnsi="Calibri"/>
            <w:sz w:val="20"/>
            <w:color w:val="000000"/>
            <w:u w:val="single"/>
          </w:rPr>
          <w:t>https://www.abbemuseum.org/core-exhibit</w:t>
        </w:r>
      </w:hyperlink>
    </w:p>
    <w:p>
      <w:pPr>
        <w:pStyle w:val="SourceNote"/>
      </w:pPr>
      <w:r>
        <w:rPr>
          <w:b/>
        </w:rPr>
        <w:t>[50]</w:t>
      </w:r>
      <w:r>
        <w:t xml:space="preserve"> James Spady. As If In a Great Darkness Native American Refugees of the Middle Connecticut River Valley in the Aftermath of King Philip’s War. Historical Journal of Massachusetts, summer 1995. Scholarly article on refugees, hunger, disease and resettlement. Open PDF; relevant pages inspected as page images.</w:t>
      </w:r>
    </w:p>
    <w:p>
      <w:pPr>
        <w:pStyle w:val="SourceURL"/>
      </w:pPr>
      <w:hyperlink r:id="rId58">
        <w:r>
          <w:rPr>
            <w:rFonts w:ascii="Calibri" w:hAnsi="Calibri"/>
            <w:sz w:val="20"/>
            <w:color w:val="000000"/>
            <w:u w:val="single"/>
          </w:rPr>
          <w:t>https://www.westfield.ma.edu/historical-journal/wp-content/uploads/2021/12/spady-summer95.pdf</w:t>
        </w:r>
      </w:hyperlink>
    </w:p>
    <w:p>
      <w:pPr>
        <w:pStyle w:val="SourceNote"/>
      </w:pPr>
      <w:r>
        <w:rPr>
          <w:b/>
        </w:rPr>
        <w:t>[51]</w:t>
      </w:r>
      <w:r>
        <w:t xml:space="preserve"> Commission de toponymie du Québec. Wôlinak, place name record. Institutional historical reference distinguishing early settlement, the 1708 land grant and the name’s official restoration in 1984.</w:t>
      </w:r>
    </w:p>
    <w:p>
      <w:pPr>
        <w:pStyle w:val="SourceURL"/>
      </w:pPr>
      <w:hyperlink r:id="rId59">
        <w:r>
          <w:rPr>
            <w:rFonts w:ascii="Calibri" w:hAnsi="Calibri"/>
            <w:sz w:val="20"/>
            <w:color w:val="000000"/>
            <w:u w:val="single"/>
          </w:rPr>
          <w:t>https://toponymie.gouv.qc.ca/ct/ToposWeb/fiche.aspx?no_seq=136958</w:t>
        </w:r>
      </w:hyperlink>
    </w:p>
    <w:p>
      <w:pPr>
        <w:pStyle w:val="Heading1"/>
      </w:pPr>
      <w:r>
        <w:t>Further reading in scholarly books</w:t>
      </w:r>
    </w:p>
    <w:p>
      <w:pPr>
        <w:pStyle w:val="SourceNote"/>
      </w:pPr>
      <w:r>
        <w:rPr>
          <w:b/>
        </w:rPr>
        <w:t>[47]</w:t>
      </w:r>
      <w:r>
        <w:t xml:space="preserve"> Lisa Brooks. Our Beloved Kin A New History of King Philip’s War. Yale University Press, 2018. Publisher description and bibliographic information consulted. The link is not unrestricted full text.</w:t>
      </w:r>
    </w:p>
    <w:p>
      <w:pPr>
        <w:pStyle w:val="SourceURL"/>
      </w:pPr>
      <w:hyperlink r:id="rId60">
        <w:r>
          <w:rPr>
            <w:rFonts w:ascii="Calibri" w:hAnsi="Calibri"/>
            <w:sz w:val="20"/>
            <w:color w:val="000000"/>
            <w:u w:val="single"/>
          </w:rPr>
          <w:t>https://yalebooks.yale.edu/book/9780300244328/our-beloved-kin/</w:t>
        </w:r>
      </w:hyperlink>
    </w:p>
    <w:p>
      <w:pPr>
        <w:pStyle w:val="SourceNote"/>
      </w:pPr>
      <w:r>
        <w:rPr>
          <w:b/>
        </w:rPr>
        <w:t>[48]</w:t>
      </w:r>
      <w:r>
        <w:t xml:space="preserve"> Colin G. Calloway. The Western Abenakis of Vermont 1600 to 1800 War Migration and the Survival of an Indian People. University of Oklahoma Press, 1990. Verified bibliographic record at Ohrstrom Library. The link is a catalog record, not the full book.</w:t>
      </w:r>
    </w:p>
    <w:p>
      <w:pPr>
        <w:pStyle w:val="SourceURL"/>
      </w:pPr>
      <w:hyperlink r:id="rId61">
        <w:r>
          <w:rPr>
            <w:rFonts w:ascii="Calibri" w:hAnsi="Calibri"/>
            <w:sz w:val="20"/>
            <w:color w:val="000000"/>
            <w:u w:val="single"/>
          </w:rPr>
          <w:t>https://librarycatalog.sps.edu/bib/69109</w:t>
        </w:r>
      </w:hyperlink>
    </w:p>
    <w:sectPr w:rsidR="00FC693F" w:rsidRPr="0006063C" w:rsidSect="00034616">
      <w:headerReference w:type="default" r:id="rId9"/>
      <w:footerReference w:type="default" r:id="rId10"/>
      <w:pgSz w:w="12240" w:h="15840"/>
      <w:pgMar w:top="1123" w:right="1296" w:bottom="1123" w:left="1296"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000000"/>
        <w:sz w:val="18"/>
      </w:rPr>
      <w:t>The Abenaki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4" w:lineRule="auto" w:after="140"/>
    </w:pPr>
    <w:rPr>
      <w:rFonts w:ascii="Cambria" w:hAnsi="Cambria"/>
      <w:color w:val="000000"/>
      <w:rFonts w:ascii="Cambria" w:hAnsi="Cambria" w:cs="Cambri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mbria" w:hAnsi="Cambria"/>
      <w:b/>
      <w:bCs/>
      <w:color w:val="000000"/>
      <w:sz w:val="30"/>
      <w:szCs w:val="28"/>
      <w:rFonts w:ascii="Cambria" w:hAnsi="Cambria" w:cs="Cambria"/>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mbria" w:hAnsi="Cambria"/>
      <w:b/>
      <w:bCs/>
      <w:color w:val="000000"/>
      <w:sz w:val="24"/>
      <w:szCs w:val="26"/>
      <w:rFonts w:ascii="Cambria" w:hAnsi="Cambria" w:cs="Cambri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000000"/>
      <w:rFonts w:ascii="Cambria" w:hAnsi="Cambria" w:cs="Cambri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Cambria" w:hAnsi="Cambria"/>
      <w:b w:val="0"/>
      <w:color w:val="000000"/>
      <w:spacing w:val="5"/>
      <w:kern w:val="28"/>
      <w:sz w:val="50"/>
      <w:szCs w:val="52"/>
      <w:rFonts w:ascii="Cambria" w:hAnsi="Cambria" w:cs="Cambri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pPr>
    <w:rPr>
      <w:rFonts w:asciiTheme="majorHAnsi" w:eastAsiaTheme="majorEastAsia" w:hAnsiTheme="majorHAnsi" w:cstheme="majorBidi" w:ascii="Cambria" w:hAnsi="Cambria"/>
      <w:i w:val="0"/>
      <w:iCs/>
      <w:color w:val="000000"/>
      <w:spacing w:val="15"/>
      <w:sz w:val="26"/>
      <w:szCs w:val="24"/>
      <w:rFonts w:ascii="Cambria" w:hAnsi="Cambria" w:cs="Cambria"/>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keepNext/>
      <w:spacing w:line="257" w:lineRule="auto" w:after="60"/>
    </w:pPr>
    <w:rPr>
      <w:sz w:val="21"/>
    </w:rPr>
  </w:style>
  <w:style w:type="paragraph" w:customStyle="1" w:styleId="SourceURL">
    <w:name w:val="Source URL"/>
    <w:basedOn w:val="Normal"/>
    <w:pPr>
      <w:keepLines/>
      <w:spacing w:line="240" w:lineRule="auto" w:after="160"/>
    </w:pPr>
    <w:rPr>
      <w:rFonts w:ascii="Calibri" w:hAnsi="Calibri"/>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bbemuseum.org/about-the-wabanaki-nations" TargetMode="External"/><Relationship Id="rId12" Type="http://schemas.openxmlformats.org/officeDocument/2006/relationships/hyperlink" Target="https://sova.si.edu/record/naa.1976-95/ref14822?q=Specifications" TargetMode="External"/><Relationship Id="rId13" Type="http://schemas.openxmlformats.org/officeDocument/2006/relationships/hyperlink" Target="https://www.fort-odanak.ca/hier-yesterday-eng" TargetMode="External"/><Relationship Id="rId14" Type="http://schemas.openxmlformats.org/officeDocument/2006/relationships/hyperlink" Target="https://www.fort-odanak.ca/abenakis_quebec-abenaki_quebec-fra" TargetMode="External"/><Relationship Id="rId15" Type="http://schemas.openxmlformats.org/officeDocument/2006/relationships/hyperlink" Target="https://deerfieldraid1704.org/scenes/nsscenes/lifeways/Wobanakiak.html" TargetMode="External"/><Relationship Id="rId16" Type="http://schemas.openxmlformats.org/officeDocument/2006/relationships/hyperlink" Target="https://www.fort-odanak.ca/alsig8ntegkw-eng" TargetMode="External"/><Relationship Id="rId17" Type="http://schemas.openxmlformats.org/officeDocument/2006/relationships/hyperlink" Target="https://www.fort-odanak.ca/grandes_phases_temporelles-major_temporal_phases-eng" TargetMode="External"/><Relationship Id="rId18" Type="http://schemas.openxmlformats.org/officeDocument/2006/relationships/hyperlink" Target="https://www.fort-odanak.ca/entre_guerre_paix-between_war_peace-eng" TargetMode="External"/><Relationship Id="rId19" Type="http://schemas.openxmlformats.org/officeDocument/2006/relationships/hyperlink" Target="https://fort-odanak.ca/projet_archeologique_fort-archaeological_project_fort-eng" TargetMode="External"/><Relationship Id="rId20" Type="http://schemas.openxmlformats.org/officeDocument/2006/relationships/hyperlink" Target="https://americanindian.si.edu/collections-search/object/NMAI_220970" TargetMode="External"/><Relationship Id="rId21" Type="http://schemas.openxmlformats.org/officeDocument/2006/relationships/hyperlink" Target="https://museeabenakis.ca/en/collection-en/" TargetMode="External"/><Relationship Id="rId22" Type="http://schemas.openxmlformats.org/officeDocument/2006/relationships/hyperlink" Target="https://cola.unh.edu/center-humanities/abenaki" TargetMode="External"/><Relationship Id="rId23" Type="http://schemas.openxmlformats.org/officeDocument/2006/relationships/hyperlink" Target="https://dawnlandvoices.org/collections/items/show/332" TargetMode="External"/><Relationship Id="rId24" Type="http://schemas.openxmlformats.org/officeDocument/2006/relationships/hyperlink" Target="https://www.middlebury.edu/language-schools/blog/middlebury-college-launches-program-preserve-abenaki-language" TargetMode="External"/><Relationship Id="rId25" Type="http://schemas.openxmlformats.org/officeDocument/2006/relationships/hyperlink" Target="https://www.penobscotnation.org/services/cultural_historic_preservation/language_resources/index.php" TargetMode="External"/><Relationship Id="rId26" Type="http://schemas.openxmlformats.org/officeDocument/2006/relationships/hyperlink" Target="https://plimoth.org/yath/unit-1/arrival-of-samoset-excerpt-from-mourts-relation" TargetMode="External"/><Relationship Id="rId27" Type="http://schemas.openxmlformats.org/officeDocument/2006/relationships/hyperlink" Target="https://americanindian.si.edu/nk360/thanksgiving/timeline.html" TargetMode="External"/><Relationship Id="rId28" Type="http://schemas.openxmlformats.org/officeDocument/2006/relationships/hyperlink" Target="https://vermonthistory.org/journal/misc/GreenMountainDiaspora.pdf" TargetMode="External"/><Relationship Id="rId29" Type="http://schemas.openxmlformats.org/officeDocument/2006/relationships/hyperlink" Target="https://vermonthistory.org/journal/misc/FrenchAndAbenaki.pdf" TargetMode="External"/><Relationship Id="rId30" Type="http://schemas.openxmlformats.org/officeDocument/2006/relationships/hyperlink" Target="https://deerfieldraid1704.org/popups/background/expDiasporaAlg.html" TargetMode="External"/><Relationship Id="rId31" Type="http://schemas.openxmlformats.org/officeDocument/2006/relationships/hyperlink" Target="https://deerfieldraid1704.org/scenes/nsscenes/founding/foundOdanak.html" TargetMode="External"/><Relationship Id="rId32" Type="http://schemas.openxmlformats.org/officeDocument/2006/relationships/hyperlink" Target="https://moses.creighton.edu/kripke/jesuitrelations/relations_67.html" TargetMode="External"/><Relationship Id="rId33" Type="http://schemas.openxmlformats.org/officeDocument/2006/relationships/hyperlink" Target="https://vermonthistory.org/journal/misc/ConquestOfVermont.pdf" TargetMode="External"/><Relationship Id="rId34" Type="http://schemas.openxmlformats.org/officeDocument/2006/relationships/hyperlink" Target="https://npgallery.nps.gov/NRHP/GetAsset/NRHP/73000147_text" TargetMode="External"/><Relationship Id="rId35" Type="http://schemas.openxmlformats.org/officeDocument/2006/relationships/hyperlink" Target="https://www.fort-odanak.ca/riviere_brule-river_burns-eng" TargetMode="External"/><Relationship Id="rId36" Type="http://schemas.openxmlformats.org/officeDocument/2006/relationships/hyperlink" Target="https://vermonthistory.org/client_media/files/Learn/Lending%20Kits/VHSAbenakiteacherguide1998.pdf" TargetMode="External"/><Relationship Id="rId37" Type="http://schemas.openxmlformats.org/officeDocument/2006/relationships/hyperlink" Target="https://www.fort-odanak.ca/aujourdhui-today-eng" TargetMode="External"/><Relationship Id="rId38" Type="http://schemas.openxmlformats.org/officeDocument/2006/relationships/hyperlink" Target="https://www.cambridge.org/core/books/abs/american-revolution-in-indian-country/odanak-abenaki-ambiguity-in-the-north/196A585B555E76B360BD4DC39BE1A706" TargetMode="External"/><Relationship Id="rId39" Type="http://schemas.openxmlformats.org/officeDocument/2006/relationships/hyperlink" Target="https://sac-isc.gc.ca/eng/1608831631597/1608832913476" TargetMode="External"/><Relationship Id="rId40" Type="http://schemas.openxmlformats.org/officeDocument/2006/relationships/hyperlink" Target="https://carlisleindian.dickinson.edu/student_files/flora-sadie-masta-student-file" TargetMode="External"/><Relationship Id="rId41" Type="http://schemas.openxmlformats.org/officeDocument/2006/relationships/hyperlink" Target="https://sirismm.si.edu/EADpdfs/NAA.MS2703.pdf" TargetMode="External"/><Relationship Id="rId42" Type="http://schemas.openxmlformats.org/officeDocument/2006/relationships/hyperlink" Target="https://www.uvm.edu/~eugenics/background.html" TargetMode="External"/><Relationship Id="rId43" Type="http://schemas.openxmlformats.org/officeDocument/2006/relationships/hyperlink" Target="https://www.bia.gov/sites/default/files/dup/assets/as-ia/ofa/petition/068_sfaben_VT/068_fd.pdf" TargetMode="External"/><Relationship Id="rId44" Type="http://schemas.openxmlformats.org/officeDocument/2006/relationships/hyperlink" Target="https://legislature.vermont.gov/statutes/fullchapter/01/023" TargetMode="External"/><Relationship Id="rId45" Type="http://schemas.openxmlformats.org/officeDocument/2006/relationships/hyperlink" Target="https://escholarship.org/content/qt5gr0t78t/qt5gr0t78t.pdf" TargetMode="External"/><Relationship Id="rId46" Type="http://schemas.openxmlformats.org/officeDocument/2006/relationships/hyperlink" Target="https://abenakiheritage.org/" TargetMode="External"/><Relationship Id="rId47" Type="http://schemas.openxmlformats.org/officeDocument/2006/relationships/hyperlink" Target="https://abenaki-edu.org/the-not-so-invisible-border/" TargetMode="External"/><Relationship Id="rId48" Type="http://schemas.openxmlformats.org/officeDocument/2006/relationships/hyperlink" Target="https://abenakiheritage.org/wp-content/uploads/2025/09/rapport_final_genealogies.pdf" TargetMode="External"/><Relationship Id="rId49" Type="http://schemas.openxmlformats.org/officeDocument/2006/relationships/hyperlink" Target="https://www.quebec.ca/gouvernement/portrait-quebec/premieres-nations-inuits/profil-des-nations/populations-autochtones-du-quebec" TargetMode="External"/><Relationship Id="rId50" Type="http://schemas.openxmlformats.org/officeDocument/2006/relationships/hyperlink" Target="https://www.quebec.ca/en/government/quebec-at-a-glance/first-nations-and-inuit/profile-of-the-nations/abenakis" TargetMode="External"/><Relationship Id="rId51" Type="http://schemas.openxmlformats.org/officeDocument/2006/relationships/hyperlink" Target="https://cepn-fnec.ca/en/wp-content/uploads/2021/02/kiuna-eng.pdf" TargetMode="External"/><Relationship Id="rId52" Type="http://schemas.openxmlformats.org/officeDocument/2006/relationships/hyperlink" Target="https://museeabenakis.ca/en/about-the-museum/" TargetMode="External"/><Relationship Id="rId53" Type="http://schemas.openxmlformats.org/officeDocument/2006/relationships/hyperlink" Target="https://blog.nfb.ca/blog/2019/10/15/alanis-obomsawin-an-overview-of-a-cinematic-legacy/" TargetMode="External"/><Relationship Id="rId54" Type="http://schemas.openxmlformats.org/officeDocument/2006/relationships/hyperlink" Target="https://museeabenakis.ca/en/trade-shows/" TargetMode="External"/><Relationship Id="rId55" Type="http://schemas.openxmlformats.org/officeDocument/2006/relationships/hyperlink" Target="https://umaine.edu/apcaw/2025/11/05/highlights-from-the-2025-black-ash-and-basketry-gathering/" TargetMode="External"/><Relationship Id="rId56" Type="http://schemas.openxmlformats.org/officeDocument/2006/relationships/hyperlink" Target="https://www.quebec.ca/en/news/actualites/detail/the-quebec-government-and-the-abenaki-sign-a-consultation-and-accommodation-agreement-41856" TargetMode="External"/><Relationship Id="rId57" Type="http://schemas.openxmlformats.org/officeDocument/2006/relationships/hyperlink" Target="https://www.abbemuseum.org/core-exhibit" TargetMode="External"/><Relationship Id="rId58" Type="http://schemas.openxmlformats.org/officeDocument/2006/relationships/hyperlink" Target="https://www.westfield.ma.edu/historical-journal/wp-content/uploads/2021/12/spady-summer95.pdf" TargetMode="External"/><Relationship Id="rId59" Type="http://schemas.openxmlformats.org/officeDocument/2006/relationships/hyperlink" Target="https://toponymie.gouv.qc.ca/ct/ToposWeb/fiche.aspx?no_seq=136958" TargetMode="External"/><Relationship Id="rId60" Type="http://schemas.openxmlformats.org/officeDocument/2006/relationships/hyperlink" Target="https://yalebooks.yale.edu/book/9780300244328/our-beloved-kin/" TargetMode="External"/><Relationship Id="rId61" Type="http://schemas.openxmlformats.org/officeDocument/2006/relationships/hyperlink" Target="https://librarycatalog.sps.edu/bib/69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Abenaki</dc:title>
  <dc:subject>Comprehensive historical and cultural study with source URLs</dc:subject>
  <dc:creator/>
  <cp:keywords>Abenaki, Wabanaki, Odanak, Wolinak, northern New England, Indigenous history</cp:keywords>
  <dc:description/>
  <cp:lastModifiedBy/>
  <cp:revision>1</cp:revision>
  <dcterms:created xsi:type="dcterms:W3CDTF">2013-12-23T23:15:00Z</dcterms:created>
  <dcterms:modified xsi:type="dcterms:W3CDTF">2013-12-23T23:15:00Z</dcterms:modified>
  <cp:category/>
</cp:coreProperties>
</file>