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Achumawi History and Culture</w:t>
      </w:r>
    </w:p>
    <w:p>
      <w:pPr>
        <w:pStyle w:val="Subtitle"/>
      </w:pPr>
      <w:r>
        <w:t>The people of the Pit River region of northeastern California</w:t>
      </w:r>
    </w:p>
    <w:p>
      <w:r>
        <w:t>The Achumawi are Indigenous people whose communities developed along the Pit River and its tributaries in northeastern California. Their history connects local government, skilled fishing practices and spiritual ties to place with survival through violent displacement. Achumawi people remain part of the wider Pit River Tribe and continue work to protect land and teach language. [1, 4, 5, 10, 14]</w:t>
      </w:r>
    </w:p>
    <w:p>
      <w:pPr>
        <w:pStyle w:val="Heading1"/>
      </w:pPr>
      <w:r>
        <w:t>Names and identity</w:t>
      </w:r>
    </w:p>
    <w:p>
      <w:r>
        <w:t>Achumawi, also spelled Achomawi, is commonly used for nine related Indigenous bands of northeastern California. Ajumawi and Ahjumawi are other spellings associated especially with the Fall River band. The name is often translated as “river people.” California State Parks also gives the translation “where the waters come together.” These different spellings reflect different ways of writing Indigenous speech in English. [2, 3, 5]</w:t>
      </w:r>
    </w:p>
    <w:p>
      <w:r>
        <w:t>The wider Pit River Tribe includes eleven autonomous bands. Nine traditionally spoke varieties of Achumawi. The Atsugewi and Aporige bands spoke varieties of Atsugewi. Achumawi and Atsugewi are related languages, but they have distinct histories. Using “Achumawi” for all eleven bands can hide that difference. [1, 2, 4]</w:t>
      </w:r>
    </w:p>
    <w:p>
      <w:r>
        <w:t>Using the spellings on the tribe’s official website, the nine Achumawi bands are Ajumawi, Astarawi, Atwamsini, Hammawi, Hewisedawi, Ilmawi, Itsatawi, Kosalektawi and Madesi. Older accounts often use different names or divide local groups differently. C. Hart Merriam’s 1926 study shows how widely names varied between neighboring communities. [1, 2]</w:t>
      </w:r>
    </w:p>
    <w:p>
      <w:pPr>
        <w:pStyle w:val="Heading1"/>
      </w:pPr>
      <w:r>
        <w:t>Homeland and the river</w:t>
      </w:r>
    </w:p>
    <w:p>
      <w:r>
        <w:t>The traditional Achumawi language area follows the Pit River from the edge of the northern Sacramento Valley toward Goose Lake. The wider Pit River Tribe describes its ancestral homeland as the “100-mile square,” covering parts of Shasta, Siskiyou, Modoc and Lassen counties. This describes a broad homeland. It should not be confused with the boundaries of a single present-day reservation. [1, 4, 10]</w:t>
      </w:r>
    </w:p>
    <w:p>
      <w:r>
        <w:t>The region includes river valleys, marshes, forests and volcanic uplands. In the Fall River basin, underground water emerges through springs around lava flows. Big Lake, the Tule River and several streams meet in the area now protected as Ahjumawi Lava Springs State Park. Such places supplied dependable water and supported fish and other foods. [5, 12]</w:t>
      </w:r>
    </w:p>
    <w:p>
      <w:r>
        <w:t>This geography helps explain why local communities developed around particular stretches of water. A shared language connected the bands, while different valleys and fishing places supported local identities. Their history therefore needs to be understood at both levels: the larger Achumawi population and the individual communities within it. [2, 3]</w:t>
      </w:r>
    </w:p>
    <w:p>
      <w:pPr>
        <w:pStyle w:val="Heading1"/>
      </w:pPr>
      <w:r>
        <w:t>Food homes and daily work</w:t>
      </w:r>
    </w:p>
    <w:p>
      <w:r>
        <w:t>Fishing and gathering were central to daily life. Foods included fish, roots, seeds, berries and acorns, with local supplies varying across the homeland. Winter houses were partly underground and had sloping bark roofs. Lighter shelters of brush or tule mats served during warmer weather. Larger communal structures provided places for gatherings. These choices suited the seasons and materials available nearby. [3]</w:t>
      </w:r>
    </w:p>
    <w:p>
      <w:r>
        <w:t>Deer provided meat and hides for clothing and equipment. Hunters dug pits along animal trails to catch them. Settlers used this practice to name the Pit River and then applied the river’s name to its Indigenous peoples. Historical descriptions also mention deerskin quivers, moccasins and other garments. The name “Pit River” preserves an outsider’s description of one hunting method. [6]</w:t>
      </w:r>
    </w:p>
    <w:p>
      <w:pPr>
        <w:pStyle w:val="Heading1"/>
      </w:pPr>
      <w:r>
        <w:t>Stone fish traps and knowledge of water</w:t>
      </w:r>
    </w:p>
    <w:p>
      <w:r>
        <w:t>The stone fish traps at Ahjumawi are a clear example of local engineering. People arranged rocks near the shore so that fresh spring water attracted trout and Sacramento suckers. The structures guided fish into shallow areas where they could be caught during winter spawning. Their builders needed to understand water flow, fish behavior and the shape of the shoreline. [5]</w:t>
      </w:r>
    </w:p>
    <w:p>
      <w:r>
        <w:t>California State Parks describes a practice of stopping the harvest after a self-imposed limit. The traps then provided protected places for fish to spawn. Food gathering included decisions about future fish supplies. The surviving structures are evidence of a managed fishing landscape and the work required to maintain it. [5]</w:t>
      </w:r>
    </w:p>
    <w:p>
      <w:pPr>
        <w:pStyle w:val="Heading1"/>
      </w:pPr>
      <w:r>
        <w:t>Family ceremonies and spiritual life</w:t>
      </w:r>
    </w:p>
    <w:p>
      <w:r>
        <w:t>Historical accounts describe ceremonies marking a young person’s passage into adulthood, exchanges of gifts between families at marriage and public mourning after death. Healers could be women or men. These accounts show the importance of family relationships and ceremonial responsibilities, although practices could differ between communities and change over time. [6]</w:t>
      </w:r>
    </w:p>
    <w:p>
      <w:r>
        <w:t>Jaime de Angulo’s account of Achumawi spiritual thought records people speaking of life and power in trees, rocks, water and mountains. In one conversation, a man described greeting the beings around him and seeking friendly relationships with them. In this account, people lived among other beings with whom they had obligations. A place could matter as a source of food and as part of a spiritual relationship. [7]</w:t>
      </w:r>
    </w:p>
    <w:p>
      <w:r>
        <w:t>De Angulo’s essay was first published in French in 1928. Annette Boushey’s English translation appeared in 1975. It preserves valuable testimony, but the interviews, translation and author’s explanations all shaped the published account. His broad statements about an entire people should be read with care. [7]</w:t>
      </w:r>
    </w:p>
    <w:p>
      <w:r>
        <w:t>Another important work is Annikadel, attributed to Istet Woiche and recorded and edited by C. Hart Merriam. Shasta Public Libraries lists the University of Arizona Press edition of 1992 and its earlier publication history. It is a useful starting point for studying Achumawi oral literature, with attention to the difference between the storyteller’s words and the editor’s presentation. [15]</w:t>
      </w:r>
    </w:p>
    <w:p>
      <w:pPr>
        <w:pStyle w:val="Heading1"/>
      </w:pPr>
      <w:r>
        <w:t>Trade and relations with neighboring peoples</w:t>
      </w:r>
    </w:p>
    <w:p>
      <w:r>
        <w:t>Pit River communities participated in a wider network of trade across northern California and southern Oregon. Thomas N. Layton’s study of early nineteenth-century commerce discusses Pit River bows and beads moving through regional trading systems. The Sáttítla highlands also supplied obsidian, a volcanic glass used for cutting tools and valued blades. Obsidian from this region circulated through broad Indigenous trade networks. [8, 13]</w:t>
      </w:r>
    </w:p>
    <w:p>
      <w:r>
        <w:t>Some relationships also involved warfare and enslavement. Layton discusses historical reports of Klamath and Modoc raiders taking Pit River captives, especially women and children, for sale through networks reaching The Dalles on the Columbia River. He also notes evidence that some eastern Pit River communities had friendly relations with Modoc neighbors. [8]</w:t>
      </w:r>
    </w:p>
    <w:p>
      <w:r>
        <w:t>These differences matter. A record of raids does not describe every relationship between whole peoples. Trade, kinship and conflict could exist in the same region. Layton also identifies limits in the surviving evidence and distinguishes documented accounts from his own arguments about changes in settlement. [8]</w:t>
      </w:r>
    </w:p>
    <w:p>
      <w:pPr>
        <w:pStyle w:val="Heading1"/>
      </w:pPr>
      <w:r>
        <w:t>Settlement violence and forced removal</w:t>
      </w:r>
    </w:p>
    <w:p>
      <w:r>
        <w:t>Growing settler occupation in the 1850s brought conflict over the homeland. A state cultural resources study describes killings following the destruction of Lockhart Ferry in 1856, the establishment of Fort Crook in 1857 and forced removal to Round Valley in 1859. It also records disease and later returns by Achumawi and Atsugewi people. [3]</w:t>
      </w:r>
    </w:p>
    <w:p>
      <w:r>
        <w:t>The California Indian History archive indexes contemporary records that describe killings of Pit River women and children. Its entry for the Nevada Democrat of October 5, 1859 records a report blaming white attackers for a massacre that an earlier account had blamed on Indigenous people. Other entries describe the burning of villages and the taking of prisoners. [9]</w:t>
      </w:r>
    </w:p>
    <w:p>
      <w:r>
        <w:t>These reports require careful reading. Newspapers and military officials sometimes repeated rumors, defended their conduct or used hostile language. Their accounts should not automatically be accepted as complete or impartial. Even so, the records show that violence reached families and settlements. Describing the period only as fighting between soldiers and warriors would leave out central parts of what happened. [9]</w:t>
      </w:r>
    </w:p>
    <w:p>
      <w:r>
        <w:t>The effects of removal extended beyond physical distance. For communities whose homes and food supplies centered on particular rivers, removal broke access to those places. Returning home helped people maintain local ties, but it did not restore the earlier balance of power over land and resources. [3, 5, 10]</w:t>
      </w:r>
    </w:p>
    <w:p>
      <w:pPr>
        <w:pStyle w:val="Heading1"/>
      </w:pPr>
      <w:r>
        <w:t>Government and the struggle to protect land</w:t>
      </w:r>
    </w:p>
    <w:p>
      <w:r>
        <w:t>The Pit River Tribe continues as a federally recognized tribal government made up of eleven bands. Its constitution states that a formal written constitution was adopted on August 16, 1964. The version held by the National Indian Law Library, updated in July 2005, describes elected band representatives serving on the Tribal Council. [5, 10]</w:t>
      </w:r>
    </w:p>
    <w:p>
      <w:r>
        <w:t>The constitution’s stated purposes include protecting ancestral lands and resources, maintaining order, promoting the welfare of descendants and preserving culture and identity. It presents sovereignty as an inherent right of the people. The written constitution gave a formal structure to shared government while recognizing the component bands. [10]</w:t>
      </w:r>
    </w:p>
    <w:p>
      <w:r>
        <w:t>Protecting the Medicine Lake Highlands became an important part of this work. In Pit River Tribe v. Bureau of Land Management, decided on September 19, 2019, the Ninth Circuit upheld a ruling favorable to the tribe and allied organizations in a dispute over geothermal leases. The court held that unproven leases could not receive the challenged forty-year continuation merely because one lease in the unit had been proven. [11]</w:t>
      </w:r>
    </w:p>
    <w:p>
      <w:r>
        <w:t>The decision concerned how federal leasing law applied. It did not settle every issue of tribal ownership or religious freedom. Its historical importance lies in the tribe’s continued use of the courts to challenge decisions affecting its homeland. [11]</w:t>
      </w:r>
    </w:p>
    <w:p>
      <w:pPr>
        <w:pStyle w:val="Heading1"/>
      </w:pPr>
      <w:r>
        <w:t>Sáttítla and living cultural ties</w:t>
      </w:r>
    </w:p>
    <w:p>
      <w:r>
        <w:t>Medicine Lake and the surrounding highlands remain important to Pit River people and several neighboring Indigenous peoples. The Forest Service describes the area as central to Pit River creation stories and cultural health. Volcanic rock stores water underground and feeds spring systems beyond the highlands. Religious concerns and the protection of water therefore meet in the same place. [12]</w:t>
      </w:r>
    </w:p>
    <w:p>
      <w:r>
        <w:t>On January 14, 2025, President Joe Biden signed the proclamation establishing Sáttítla Highlands National Monument. The monument covers 224,676 acres. The proclamation recognizes the area’s Indigenous cultural importance, obsidian resources and water systems. It also directs federal managers to seek tribal expertise and provide for continued traditional uses under applicable law. [12, 13]</w:t>
      </w:r>
    </w:p>
    <w:p>
      <w:r>
        <w:t>The designation followed years of tribal advocacy and litigation. It protected federal land through monument status while leaving the Forest Service responsible for management. It did not return the whole Achumawi or Pit River ancestral homeland to tribal ownership. [11, 13]</w:t>
      </w:r>
    </w:p>
    <w:p>
      <w:pPr>
        <w:pStyle w:val="Heading1"/>
      </w:pPr>
      <w:r>
        <w:t>Language and cultural continuity</w:t>
      </w:r>
    </w:p>
    <w:p>
      <w:r>
        <w:t>Achumawi and Atsugewi are generally grouped as the Palaihnihan language family. Their proposed connection to a larger Hokan family remains a hypothesis. Berkeley’s California Language Archive points readers to dictionaries, teaching materials and linguistic studies. Its speaker estimate draws on work published in 2011, so it should not be treated as a new count for 2026. [4]</w:t>
      </w:r>
    </w:p>
    <w:p>
      <w:r>
        <w:t>The Pit River Tribe posted an announcement for language sessions on March 2, 2026. This is direct evidence of present-day work to teach and maintain language. It also shows why an account of the Achumawi needs to include the people living now, alongside older descriptions preserved by anthropologists. [14]</w:t>
      </w:r>
    </w:p>
    <w:p>
      <w:r>
        <w:t>Shasta Public Libraries’ California Indian Library Collections bibliography provides routes into language recordings, photographs, oral literature and scholarly studies. Many older works remain useful, but their terminology and conclusions need to be weighed against tribal accounts and later research. Cultural continuity includes the authority of Achumawi people to interpret these materials and decide how knowledge is passed on. [15]</w:t>
      </w:r>
    </w:p>
    <w:p>
      <w:pPr>
        <w:pStyle w:val="Heading1"/>
        <w:pageBreakBefore/>
      </w:pPr>
      <w:r>
        <w:t>Chronology</w:t>
      </w:r>
    </w:p>
    <w:tbl>
      <w:tblPr>
        <w:tblW w:type="auto" w:w="0"/>
        <w:jc w:val="center"/>
        <w:tblLayout w:type="fixed"/>
        <w:tblLook w:firstColumn="1" w:firstRow="1" w:lastColumn="0" w:lastRow="0" w:noHBand="0" w:noVBand="1" w:val="04A0"/>
      </w:tblPr>
      <w:tblGrid>
        <w:gridCol w:w="2117"/>
        <w:gridCol w:w="7675"/>
      </w:tblGrid>
      <w:tr>
        <w:trPr>
          <w:cantSplit/>
          <w:tblHeader/>
        </w:trPr>
        <w:tc>
          <w:tcPr>
            <w:tcW w:type="dxa" w:w="2117"/>
            <w:vAlign w:val="center"/>
            <w:tcBorders>
              <w:top w:val="single" w:sz="5" w:color="D9D9D9"/>
              <w:left w:val="single" w:sz="5" w:color="D9D9D9"/>
              <w:bottom w:val="single" w:sz="5" w:color="D9D9D9"/>
              <w:right w:val="single" w:sz="5" w:color="D9D9D9"/>
            </w:tcBorders>
            <w:tcMar>
              <w:top w:w="100" w:type="dxa"/>
              <w:bottom w:w="100" w:type="dxa"/>
              <w:left w:w="115" w:type="dxa"/>
              <w:right w:w="115" w:type="dxa"/>
            </w:tcMar>
            <w:shd w:fill="404040"/>
          </w:tcPr>
          <w:p>
            <w:pPr>
              <w:spacing w:after="0" w:line="252" w:lineRule="auto"/>
              <w:jc w:val="left"/>
            </w:pPr>
            <w:r>
              <w:rPr>
                <w:b/>
                <w:color w:val="FFFFFF"/>
                <w:sz w:val="19"/>
              </w:rPr>
              <w:t>Period or date</w:t>
            </w:r>
          </w:p>
        </w:tc>
        <w:tc>
          <w:tcPr>
            <w:tcW w:type="dxa" w:w="7675"/>
            <w:vAlign w:val="center"/>
            <w:tcBorders>
              <w:top w:val="single" w:sz="5" w:color="D9D9D9"/>
              <w:left w:val="single" w:sz="5" w:color="D9D9D9"/>
              <w:bottom w:val="single" w:sz="5" w:color="D9D9D9"/>
              <w:right w:val="single" w:sz="5" w:color="D9D9D9"/>
            </w:tcBorders>
            <w:tcMar>
              <w:top w:w="100" w:type="dxa"/>
              <w:bottom w:w="100" w:type="dxa"/>
              <w:left w:w="115" w:type="dxa"/>
              <w:right w:w="115" w:type="dxa"/>
            </w:tcMar>
            <w:shd w:fill="404040"/>
          </w:tcPr>
          <w:p>
            <w:pPr>
              <w:spacing w:after="0" w:line="252" w:lineRule="auto"/>
              <w:jc w:val="left"/>
            </w:pPr>
            <w:r>
              <w:rPr>
                <w:b/>
                <w:color w:val="FFFFFF"/>
                <w:sz w:val="19"/>
              </w:rPr>
              <w:t>Development</w:t>
            </w:r>
          </w:p>
        </w:tc>
      </w:tr>
      <w:tr>
        <w:trPr>
          <w:cantSplit/>
        </w:trPr>
        <w:tc>
          <w:tcPr>
            <w:tcW w:type="dxa" w:w="2117"/>
            <w:vAlign w:val="center"/>
            <w:tcBorders>
              <w:top w:val="single" w:sz="5" w:color="D9D9D9"/>
              <w:left w:val="single" w:sz="5" w:color="D9D9D9"/>
              <w:bottom w:val="single" w:sz="5" w:color="D9D9D9"/>
              <w:right w:val="single" w:sz="5" w:color="D9D9D9"/>
            </w:tcBorders>
            <w:tcMar>
              <w:top w:w="100" w:type="dxa"/>
              <w:bottom w:w="100" w:type="dxa"/>
              <w:left w:w="115" w:type="dxa"/>
              <w:right w:w="115" w:type="dxa"/>
            </w:tcMar>
            <w:shd w:fill="F5F5F5"/>
          </w:tcPr>
          <w:p>
            <w:pPr>
              <w:spacing w:after="0" w:line="252" w:lineRule="auto"/>
              <w:jc w:val="left"/>
            </w:pPr>
            <w:r>
              <w:rPr>
                <w:b w:val="0"/>
                <w:color w:val="000000"/>
                <w:sz w:val="19"/>
              </w:rPr>
              <w:t>Before settler occupation</w:t>
            </w:r>
          </w:p>
        </w:tc>
        <w:tc>
          <w:tcPr>
            <w:tcW w:type="dxa" w:w="7675"/>
            <w:vAlign w:val="center"/>
            <w:tcBorders>
              <w:top w:val="single" w:sz="5" w:color="D9D9D9"/>
              <w:left w:val="single" w:sz="5" w:color="D9D9D9"/>
              <w:bottom w:val="single" w:sz="5" w:color="D9D9D9"/>
              <w:right w:val="single" w:sz="5" w:color="D9D9D9"/>
            </w:tcBorders>
            <w:tcMar>
              <w:top w:w="100" w:type="dxa"/>
              <w:bottom w:w="100" w:type="dxa"/>
              <w:left w:w="115" w:type="dxa"/>
              <w:right w:w="115" w:type="dxa"/>
            </w:tcMar>
            <w:shd w:fill="F5F5F5"/>
          </w:tcPr>
          <w:p>
            <w:pPr>
              <w:spacing w:after="0" w:line="252" w:lineRule="auto"/>
              <w:jc w:val="left"/>
            </w:pPr>
            <w:r>
              <w:rPr>
                <w:b w:val="0"/>
                <w:color w:val="000000"/>
                <w:sz w:val="19"/>
              </w:rPr>
              <w:t>Distinct communities maintain local homelands along the Pit River and its tributaries. [2, 4]</w:t>
            </w:r>
          </w:p>
        </w:tc>
      </w:tr>
      <w:tr>
        <w:trPr>
          <w:cantSplit/>
        </w:trPr>
        <w:tc>
          <w:tcPr>
            <w:tcW w:type="dxa" w:w="2117"/>
            <w:vAlign w:val="center"/>
            <w:tcBorders>
              <w:top w:val="single" w:sz="5" w:color="D9D9D9"/>
              <w:left w:val="single" w:sz="5" w:color="D9D9D9"/>
              <w:bottom w:val="single" w:sz="5" w:color="D9D9D9"/>
              <w:right w:val="single" w:sz="5" w:color="D9D9D9"/>
            </w:tcBorders>
            <w:tcMar>
              <w:top w:w="100" w:type="dxa"/>
              <w:bottom w:w="100" w:type="dxa"/>
              <w:left w:w="115" w:type="dxa"/>
              <w:right w:w="115" w:type="dxa"/>
            </w:tcMar>
            <w:shd w:fill="FFFFFF"/>
          </w:tcPr>
          <w:p>
            <w:pPr>
              <w:spacing w:after="0" w:line="252" w:lineRule="auto"/>
              <w:jc w:val="left"/>
            </w:pPr>
            <w:r>
              <w:rPr>
                <w:b w:val="0"/>
                <w:color w:val="000000"/>
                <w:sz w:val="19"/>
              </w:rPr>
              <w:t>1850s</w:t>
            </w:r>
          </w:p>
        </w:tc>
        <w:tc>
          <w:tcPr>
            <w:tcW w:type="dxa" w:w="7675"/>
            <w:vAlign w:val="center"/>
            <w:tcBorders>
              <w:top w:val="single" w:sz="5" w:color="D9D9D9"/>
              <w:left w:val="single" w:sz="5" w:color="D9D9D9"/>
              <w:bottom w:val="single" w:sz="5" w:color="D9D9D9"/>
              <w:right w:val="single" w:sz="5" w:color="D9D9D9"/>
            </w:tcBorders>
            <w:tcMar>
              <w:top w:w="100" w:type="dxa"/>
              <w:bottom w:w="100" w:type="dxa"/>
              <w:left w:w="115" w:type="dxa"/>
              <w:right w:w="115" w:type="dxa"/>
            </w:tcMar>
            <w:shd w:fill="FFFFFF"/>
          </w:tcPr>
          <w:p>
            <w:pPr>
              <w:spacing w:after="0" w:line="252" w:lineRule="auto"/>
              <w:jc w:val="left"/>
            </w:pPr>
            <w:r>
              <w:rPr>
                <w:b w:val="0"/>
                <w:color w:val="000000"/>
                <w:sz w:val="19"/>
              </w:rPr>
              <w:t>Settler occupation and organized violence disrupt villages and access to land. [3, 9]</w:t>
            </w:r>
          </w:p>
        </w:tc>
      </w:tr>
      <w:tr>
        <w:trPr>
          <w:cantSplit/>
        </w:trPr>
        <w:tc>
          <w:tcPr>
            <w:tcW w:type="dxa" w:w="2117"/>
            <w:vAlign w:val="center"/>
            <w:tcBorders>
              <w:top w:val="single" w:sz="5" w:color="D9D9D9"/>
              <w:left w:val="single" w:sz="5" w:color="D9D9D9"/>
              <w:bottom w:val="single" w:sz="5" w:color="D9D9D9"/>
              <w:right w:val="single" w:sz="5" w:color="D9D9D9"/>
            </w:tcBorders>
            <w:tcMar>
              <w:top w:w="100" w:type="dxa"/>
              <w:bottom w:w="100" w:type="dxa"/>
              <w:left w:w="115" w:type="dxa"/>
              <w:right w:w="115" w:type="dxa"/>
            </w:tcMar>
            <w:shd w:fill="F5F5F5"/>
          </w:tcPr>
          <w:p>
            <w:pPr>
              <w:spacing w:after="0" w:line="252" w:lineRule="auto"/>
              <w:jc w:val="left"/>
            </w:pPr>
            <w:r>
              <w:rPr>
                <w:b w:val="0"/>
                <w:color w:val="000000"/>
                <w:sz w:val="19"/>
              </w:rPr>
              <w:t>1859</w:t>
            </w:r>
          </w:p>
        </w:tc>
        <w:tc>
          <w:tcPr>
            <w:tcW w:type="dxa" w:w="7675"/>
            <w:vAlign w:val="center"/>
            <w:tcBorders>
              <w:top w:val="single" w:sz="5" w:color="D9D9D9"/>
              <w:left w:val="single" w:sz="5" w:color="D9D9D9"/>
              <w:bottom w:val="single" w:sz="5" w:color="D9D9D9"/>
              <w:right w:val="single" w:sz="5" w:color="D9D9D9"/>
            </w:tcBorders>
            <w:tcMar>
              <w:top w:w="100" w:type="dxa"/>
              <w:bottom w:w="100" w:type="dxa"/>
              <w:left w:w="115" w:type="dxa"/>
              <w:right w:w="115" w:type="dxa"/>
            </w:tcMar>
            <w:shd w:fill="F5F5F5"/>
          </w:tcPr>
          <w:p>
            <w:pPr>
              <w:spacing w:after="0" w:line="252" w:lineRule="auto"/>
              <w:jc w:val="left"/>
            </w:pPr>
            <w:r>
              <w:rPr>
                <w:b w:val="0"/>
                <w:color w:val="000000"/>
                <w:sz w:val="19"/>
              </w:rPr>
              <w:t>Pit River people are forcibly removed to Round Valley. Some later return home. [3]</w:t>
            </w:r>
          </w:p>
        </w:tc>
      </w:tr>
      <w:tr>
        <w:trPr>
          <w:cantSplit/>
        </w:trPr>
        <w:tc>
          <w:tcPr>
            <w:tcW w:type="dxa" w:w="2117"/>
            <w:vAlign w:val="center"/>
            <w:tcBorders>
              <w:top w:val="single" w:sz="5" w:color="D9D9D9"/>
              <w:left w:val="single" w:sz="5" w:color="D9D9D9"/>
              <w:bottom w:val="single" w:sz="5" w:color="D9D9D9"/>
              <w:right w:val="single" w:sz="5" w:color="D9D9D9"/>
            </w:tcBorders>
            <w:tcMar>
              <w:top w:w="100" w:type="dxa"/>
              <w:bottom w:w="100" w:type="dxa"/>
              <w:left w:w="115" w:type="dxa"/>
              <w:right w:w="115" w:type="dxa"/>
            </w:tcMar>
            <w:shd w:fill="FFFFFF"/>
          </w:tcPr>
          <w:p>
            <w:pPr>
              <w:spacing w:after="0" w:line="252" w:lineRule="auto"/>
              <w:jc w:val="left"/>
            </w:pPr>
            <w:r>
              <w:rPr>
                <w:b w:val="0"/>
                <w:color w:val="000000"/>
                <w:sz w:val="19"/>
              </w:rPr>
              <w:t>1926 and 1928</w:t>
            </w:r>
          </w:p>
        </w:tc>
        <w:tc>
          <w:tcPr>
            <w:tcW w:type="dxa" w:w="7675"/>
            <w:vAlign w:val="center"/>
            <w:tcBorders>
              <w:top w:val="single" w:sz="5" w:color="D9D9D9"/>
              <w:left w:val="single" w:sz="5" w:color="D9D9D9"/>
              <w:bottom w:val="single" w:sz="5" w:color="D9D9D9"/>
              <w:right w:val="single" w:sz="5" w:color="D9D9D9"/>
            </w:tcBorders>
            <w:tcMar>
              <w:top w:w="100" w:type="dxa"/>
              <w:bottom w:w="100" w:type="dxa"/>
              <w:left w:w="115" w:type="dxa"/>
              <w:right w:w="115" w:type="dxa"/>
            </w:tcMar>
            <w:shd w:fill="FFFFFF"/>
          </w:tcPr>
          <w:p>
            <w:pPr>
              <w:spacing w:after="0" w:line="252" w:lineRule="auto"/>
              <w:jc w:val="left"/>
            </w:pPr>
            <w:r>
              <w:rPr>
                <w:b w:val="0"/>
                <w:color w:val="000000"/>
                <w:sz w:val="19"/>
              </w:rPr>
              <w:t>Merriam publishes his classification study in 1926. De Angulo’s essay on spiritual thought appears in 1928. [2, 7]</w:t>
            </w:r>
          </w:p>
        </w:tc>
      </w:tr>
      <w:tr>
        <w:trPr>
          <w:cantSplit/>
        </w:trPr>
        <w:tc>
          <w:tcPr>
            <w:tcW w:type="dxa" w:w="2117"/>
            <w:vAlign w:val="center"/>
            <w:tcBorders>
              <w:top w:val="single" w:sz="5" w:color="D9D9D9"/>
              <w:left w:val="single" w:sz="5" w:color="D9D9D9"/>
              <w:bottom w:val="single" w:sz="5" w:color="D9D9D9"/>
              <w:right w:val="single" w:sz="5" w:color="D9D9D9"/>
            </w:tcBorders>
            <w:tcMar>
              <w:top w:w="100" w:type="dxa"/>
              <w:bottom w:w="100" w:type="dxa"/>
              <w:left w:w="115" w:type="dxa"/>
              <w:right w:w="115" w:type="dxa"/>
            </w:tcMar>
            <w:shd w:fill="F5F5F5"/>
          </w:tcPr>
          <w:p>
            <w:pPr>
              <w:spacing w:after="0" w:line="252" w:lineRule="auto"/>
              <w:jc w:val="left"/>
            </w:pPr>
            <w:r>
              <w:rPr>
                <w:b w:val="0"/>
                <w:color w:val="000000"/>
                <w:sz w:val="19"/>
              </w:rPr>
              <w:t>August 16 1964</w:t>
            </w:r>
          </w:p>
        </w:tc>
        <w:tc>
          <w:tcPr>
            <w:tcW w:type="dxa" w:w="7675"/>
            <w:vAlign w:val="center"/>
            <w:tcBorders>
              <w:top w:val="single" w:sz="5" w:color="D9D9D9"/>
              <w:left w:val="single" w:sz="5" w:color="D9D9D9"/>
              <w:bottom w:val="single" w:sz="5" w:color="D9D9D9"/>
              <w:right w:val="single" w:sz="5" w:color="D9D9D9"/>
            </w:tcBorders>
            <w:tcMar>
              <w:top w:w="100" w:type="dxa"/>
              <w:bottom w:w="100" w:type="dxa"/>
              <w:left w:w="115" w:type="dxa"/>
              <w:right w:w="115" w:type="dxa"/>
            </w:tcMar>
            <w:shd w:fill="F5F5F5"/>
          </w:tcPr>
          <w:p>
            <w:pPr>
              <w:spacing w:after="0" w:line="252" w:lineRule="auto"/>
              <w:jc w:val="left"/>
            </w:pPr>
            <w:r>
              <w:rPr>
                <w:b w:val="0"/>
                <w:color w:val="000000"/>
                <w:sz w:val="19"/>
              </w:rPr>
              <w:t>The Pit River Tribe adopts a formal written constitution. [10]</w:t>
            </w:r>
          </w:p>
        </w:tc>
      </w:tr>
      <w:tr>
        <w:trPr>
          <w:cantSplit/>
        </w:trPr>
        <w:tc>
          <w:tcPr>
            <w:tcW w:type="dxa" w:w="2117"/>
            <w:vAlign w:val="center"/>
            <w:tcBorders>
              <w:top w:val="single" w:sz="5" w:color="D9D9D9"/>
              <w:left w:val="single" w:sz="5" w:color="D9D9D9"/>
              <w:bottom w:val="single" w:sz="5" w:color="D9D9D9"/>
              <w:right w:val="single" w:sz="5" w:color="D9D9D9"/>
            </w:tcBorders>
            <w:tcMar>
              <w:top w:w="100" w:type="dxa"/>
              <w:bottom w:w="100" w:type="dxa"/>
              <w:left w:w="115" w:type="dxa"/>
              <w:right w:w="115" w:type="dxa"/>
            </w:tcMar>
            <w:shd w:fill="FFFFFF"/>
          </w:tcPr>
          <w:p>
            <w:pPr>
              <w:spacing w:after="0" w:line="252" w:lineRule="auto"/>
              <w:jc w:val="left"/>
            </w:pPr>
            <w:r>
              <w:rPr>
                <w:b w:val="0"/>
                <w:color w:val="000000"/>
                <w:sz w:val="19"/>
              </w:rPr>
              <w:t>September 19 2019</w:t>
            </w:r>
          </w:p>
        </w:tc>
        <w:tc>
          <w:tcPr>
            <w:tcW w:type="dxa" w:w="7675"/>
            <w:vAlign w:val="center"/>
            <w:tcBorders>
              <w:top w:val="single" w:sz="5" w:color="D9D9D9"/>
              <w:left w:val="single" w:sz="5" w:color="D9D9D9"/>
              <w:bottom w:val="single" w:sz="5" w:color="D9D9D9"/>
              <w:right w:val="single" w:sz="5" w:color="D9D9D9"/>
            </w:tcBorders>
            <w:tcMar>
              <w:top w:w="100" w:type="dxa"/>
              <w:bottom w:w="100" w:type="dxa"/>
              <w:left w:w="115" w:type="dxa"/>
              <w:right w:w="115" w:type="dxa"/>
            </w:tcMar>
            <w:shd w:fill="FFFFFF"/>
          </w:tcPr>
          <w:p>
            <w:pPr>
              <w:spacing w:after="0" w:line="252" w:lineRule="auto"/>
              <w:jc w:val="left"/>
            </w:pPr>
            <w:r>
              <w:rPr>
                <w:b w:val="0"/>
                <w:color w:val="000000"/>
                <w:sz w:val="19"/>
              </w:rPr>
              <w:t>The Ninth Circuit affirms a ruling favorable to the tribe in the geothermal lease dispute. [11]</w:t>
            </w:r>
          </w:p>
        </w:tc>
      </w:tr>
      <w:tr>
        <w:trPr>
          <w:cantSplit/>
        </w:trPr>
        <w:tc>
          <w:tcPr>
            <w:tcW w:type="dxa" w:w="2117"/>
            <w:vAlign w:val="center"/>
            <w:tcBorders>
              <w:top w:val="single" w:sz="5" w:color="D9D9D9"/>
              <w:left w:val="single" w:sz="5" w:color="D9D9D9"/>
              <w:bottom w:val="single" w:sz="5" w:color="D9D9D9"/>
              <w:right w:val="single" w:sz="5" w:color="D9D9D9"/>
            </w:tcBorders>
            <w:tcMar>
              <w:top w:w="100" w:type="dxa"/>
              <w:bottom w:w="100" w:type="dxa"/>
              <w:left w:w="115" w:type="dxa"/>
              <w:right w:w="115" w:type="dxa"/>
            </w:tcMar>
            <w:shd w:fill="F5F5F5"/>
          </w:tcPr>
          <w:p>
            <w:pPr>
              <w:spacing w:after="0" w:line="252" w:lineRule="auto"/>
              <w:jc w:val="left"/>
            </w:pPr>
            <w:r>
              <w:rPr>
                <w:b w:val="0"/>
                <w:color w:val="000000"/>
                <w:sz w:val="19"/>
              </w:rPr>
              <w:t>January 14 2025</w:t>
            </w:r>
          </w:p>
        </w:tc>
        <w:tc>
          <w:tcPr>
            <w:tcW w:type="dxa" w:w="7675"/>
            <w:vAlign w:val="center"/>
            <w:tcBorders>
              <w:top w:val="single" w:sz="5" w:color="D9D9D9"/>
              <w:left w:val="single" w:sz="5" w:color="D9D9D9"/>
              <w:bottom w:val="single" w:sz="5" w:color="D9D9D9"/>
              <w:right w:val="single" w:sz="5" w:color="D9D9D9"/>
            </w:tcBorders>
            <w:tcMar>
              <w:top w:w="100" w:type="dxa"/>
              <w:bottom w:w="100" w:type="dxa"/>
              <w:left w:w="115" w:type="dxa"/>
              <w:right w:w="115" w:type="dxa"/>
            </w:tcMar>
            <w:shd w:fill="F5F5F5"/>
          </w:tcPr>
          <w:p>
            <w:pPr>
              <w:spacing w:after="0" w:line="252" w:lineRule="auto"/>
              <w:jc w:val="left"/>
            </w:pPr>
            <w:r>
              <w:rPr>
                <w:b w:val="0"/>
                <w:color w:val="000000"/>
                <w:sz w:val="19"/>
              </w:rPr>
              <w:t>Sáttítla Highlands National Monument is established. [13]</w:t>
            </w:r>
          </w:p>
        </w:tc>
      </w:tr>
      <w:tr>
        <w:trPr>
          <w:cantSplit/>
        </w:trPr>
        <w:tc>
          <w:tcPr>
            <w:tcW w:type="dxa" w:w="2117"/>
            <w:vAlign w:val="center"/>
            <w:tcBorders>
              <w:top w:val="single" w:sz="5" w:color="D9D9D9"/>
              <w:left w:val="single" w:sz="5" w:color="D9D9D9"/>
              <w:bottom w:val="single" w:sz="5" w:color="D9D9D9"/>
              <w:right w:val="single" w:sz="5" w:color="D9D9D9"/>
            </w:tcBorders>
            <w:tcMar>
              <w:top w:w="100" w:type="dxa"/>
              <w:bottom w:w="100" w:type="dxa"/>
              <w:left w:w="115" w:type="dxa"/>
              <w:right w:w="115" w:type="dxa"/>
            </w:tcMar>
            <w:shd w:fill="FFFFFF"/>
          </w:tcPr>
          <w:p>
            <w:pPr>
              <w:spacing w:after="0" w:line="252" w:lineRule="auto"/>
              <w:jc w:val="left"/>
            </w:pPr>
            <w:r>
              <w:rPr>
                <w:b w:val="0"/>
                <w:color w:val="000000"/>
                <w:sz w:val="19"/>
              </w:rPr>
              <w:t>March 2 2026</w:t>
            </w:r>
          </w:p>
        </w:tc>
        <w:tc>
          <w:tcPr>
            <w:tcW w:type="dxa" w:w="7675"/>
            <w:vAlign w:val="center"/>
            <w:tcBorders>
              <w:top w:val="single" w:sz="5" w:color="D9D9D9"/>
              <w:left w:val="single" w:sz="5" w:color="D9D9D9"/>
              <w:bottom w:val="single" w:sz="5" w:color="D9D9D9"/>
              <w:right w:val="single" w:sz="5" w:color="D9D9D9"/>
            </w:tcBorders>
            <w:tcMar>
              <w:top w:w="100" w:type="dxa"/>
              <w:bottom w:w="100" w:type="dxa"/>
              <w:left w:w="115" w:type="dxa"/>
              <w:right w:w="115" w:type="dxa"/>
            </w:tcMar>
            <w:shd w:fill="FFFFFF"/>
          </w:tcPr>
          <w:p>
            <w:pPr>
              <w:spacing w:after="0" w:line="252" w:lineRule="auto"/>
              <w:jc w:val="left"/>
            </w:pPr>
            <w:r>
              <w:rPr>
                <w:b w:val="0"/>
                <w:color w:val="000000"/>
                <w:sz w:val="19"/>
              </w:rPr>
              <w:t>The tribe posts its announcement for Pit River language sessions. [14]</w:t>
            </w:r>
          </w:p>
        </w:tc>
      </w:tr>
    </w:tbl>
    <w:p>
      <w:pPr>
        <w:pStyle w:val="Heading1"/>
      </w:pPr>
      <w:r>
        <w:t>Sources and further reading</w:t>
      </w:r>
    </w:p>
    <w:p>
      <w:r>
        <w:t>Bracketed numbers in the text refer to the sources below. Historical fieldwork and contemporary records are read alongside tribal documents, university scholarship and government research. Web sources were checked on October 17, 2026.</w:t>
      </w:r>
    </w:p>
    <w:p>
      <w:pPr>
        <w:keepNext/>
        <w:spacing w:before="140" w:after="40"/>
      </w:pPr>
      <w:r>
        <w:rPr>
          <w:b/>
          <w:sz w:val="20"/>
        </w:rPr>
        <w:t xml:space="preserve">[1] Pit River Tribe. </w:t>
      </w:r>
      <w:r>
        <w:rPr>
          <w:sz w:val="20"/>
        </w:rPr>
        <w:t>Official tribal website. Primary source for the eleven bands and the tribe’s description of its homeland.</w:t>
      </w:r>
    </w:p>
    <w:p>
      <w:pPr>
        <w:spacing w:after="100" w:line="247" w:lineRule="auto"/>
      </w:pPr>
      <w:hyperlink r:id="rId9">
        <w:r>
          <w:rPr>
            <w:rFonts w:ascii="Calibri" w:hAnsi="Calibri"/>
            <w:sz w:val="20"/>
            <w:color w:val="155D8C"/>
          </w:rPr>
          <w:t>https://pitrivertribe.gov/</w:t>
        </w:r>
      </w:hyperlink>
    </w:p>
    <w:p>
      <w:pPr>
        <w:keepNext/>
        <w:spacing w:before="140" w:after="40"/>
      </w:pPr>
      <w:r>
        <w:rPr>
          <w:b/>
          <w:sz w:val="20"/>
        </w:rPr>
        <w:t xml:space="preserve">[2] C Hart Merriam 1926. </w:t>
      </w:r>
      <w:r>
        <w:rPr>
          <w:sz w:val="20"/>
        </w:rPr>
        <w:t>The classification and distribution of the Pit River Indian tribes of California. Smithsonian Miscellaneous Collections 78, number 3. Historical fieldwork; terminology reflects its period. Full text is linked from the record.</w:t>
      </w:r>
    </w:p>
    <w:p>
      <w:pPr>
        <w:spacing w:after="100" w:line="247" w:lineRule="auto"/>
      </w:pPr>
      <w:hyperlink r:id="rId10">
        <w:r>
          <w:rPr>
            <w:rFonts w:ascii="Calibri" w:hAnsi="Calibri"/>
            <w:sz w:val="20"/>
            <w:color w:val="155D8C"/>
          </w:rPr>
          <w:t>https://repository.si.edu/items/0625c939-2703-4eef-9eb9-b59714697028</w:t>
        </w:r>
      </w:hyperlink>
    </w:p>
    <w:p>
      <w:pPr>
        <w:keepNext/>
        <w:spacing w:before="140" w:after="40"/>
      </w:pPr>
      <w:r>
        <w:rPr>
          <w:b/>
          <w:sz w:val="20"/>
        </w:rPr>
        <w:t xml:space="preserve">[3] California Public Utilities Commission. </w:t>
      </w:r>
      <w:r>
        <w:rPr>
          <w:sz w:val="20"/>
        </w:rPr>
        <w:t>PG&amp;E Land Transfers Final Mitigated Negative Declaration, Section 2 V Cultural Resources. Institutional synthesis of ethnographic, archaeological and historical research.</w:t>
      </w:r>
    </w:p>
    <w:p>
      <w:pPr>
        <w:spacing w:after="100" w:line="247" w:lineRule="auto"/>
      </w:pPr>
      <w:hyperlink r:id="rId11">
        <w:r>
          <w:rPr>
            <w:rFonts w:ascii="Calibri" w:hAnsi="Calibri"/>
            <w:sz w:val="20"/>
            <w:color w:val="155D8C"/>
          </w:rPr>
          <w:t>https://ia.cpuc.ca.gov/environment/info/esa/pgedivest/swaps/final/swapch_2v.html</w:t>
        </w:r>
      </w:hyperlink>
    </w:p>
    <w:p>
      <w:pPr>
        <w:keepNext/>
        <w:spacing w:before="140" w:after="40"/>
      </w:pPr>
      <w:r>
        <w:rPr>
          <w:b/>
          <w:sz w:val="20"/>
        </w:rPr>
        <w:t xml:space="preserve">[4] University of California Berkeley. </w:t>
      </w:r>
      <w:r>
        <w:rPr>
          <w:sz w:val="20"/>
        </w:rPr>
        <w:t>California Language Archive, Achumawi. University overview and guide to linguistic scholarship. The speaker estimate cites Golla 2011.</w:t>
      </w:r>
    </w:p>
    <w:p>
      <w:pPr>
        <w:spacing w:after="100" w:line="247" w:lineRule="auto"/>
      </w:pPr>
      <w:hyperlink r:id="rId12">
        <w:r>
          <w:rPr>
            <w:rFonts w:ascii="Calibri" w:hAnsi="Calibri"/>
            <w:sz w:val="20"/>
            <w:color w:val="155D8C"/>
          </w:rPr>
          <w:t>https://cla.berkeley.edu/languages/achumawi.html</w:t>
        </w:r>
      </w:hyperlink>
    </w:p>
    <w:p>
      <w:pPr>
        <w:keepNext/>
        <w:spacing w:before="140" w:after="40"/>
      </w:pPr>
      <w:r>
        <w:rPr>
          <w:b/>
          <w:sz w:val="20"/>
        </w:rPr>
        <w:t xml:space="preserve">[5] California State Parks 2016. </w:t>
      </w:r>
      <w:r>
        <w:rPr>
          <w:sz w:val="20"/>
        </w:rPr>
        <w:t>Ahjumawi Lava Springs State Park brochure. Government account of the Ajumawi band, fish traps and local landscape.</w:t>
      </w:r>
    </w:p>
    <w:p>
      <w:pPr>
        <w:spacing w:after="100" w:line="247" w:lineRule="auto"/>
      </w:pPr>
      <w:hyperlink r:id="rId13">
        <w:r>
          <w:rPr>
            <w:rFonts w:ascii="Calibri" w:hAnsi="Calibri"/>
            <w:sz w:val="20"/>
            <w:color w:val="155D8C"/>
          </w:rPr>
          <w:t>https://www.parks.ca.gov/pages/464/files/AhjumawiLavaSpringsWeb2016.pdf</w:t>
        </w:r>
      </w:hyperlink>
    </w:p>
    <w:p>
      <w:pPr>
        <w:keepNext/>
        <w:spacing w:before="140" w:after="40"/>
      </w:pPr>
      <w:r>
        <w:rPr>
          <w:b/>
          <w:sz w:val="20"/>
        </w:rPr>
        <w:t xml:space="preserve">[6] California History Online. </w:t>
      </w:r>
      <w:r>
        <w:rPr>
          <w:sz w:val="20"/>
        </w:rPr>
        <w:t>The First Californians Native Cultures. Educational reading hosted in a California State University Northridge course archive. The Achumawi section appears on PDF page 9.</w:t>
      </w:r>
    </w:p>
    <w:p>
      <w:pPr>
        <w:spacing w:after="100" w:line="247" w:lineRule="auto"/>
      </w:pPr>
      <w:hyperlink r:id="rId14">
        <w:r>
          <w:rPr>
            <w:rFonts w:ascii="Calibri" w:hAnsi="Calibri"/>
            <w:sz w:val="20"/>
            <w:color w:val="155D8C"/>
          </w:rPr>
          <w:t>https://www.csun.edu/~sg4002/courses/417/readings/indians.pdf</w:t>
        </w:r>
      </w:hyperlink>
    </w:p>
    <w:p>
      <w:pPr>
        <w:keepNext/>
        <w:spacing w:before="140" w:after="40"/>
      </w:pPr>
      <w:r>
        <w:rPr>
          <w:b/>
          <w:sz w:val="20"/>
        </w:rPr>
        <w:t xml:space="preserve">[7] Jaime de Angulo 1975. </w:t>
      </w:r>
      <w:r>
        <w:rPr>
          <w:sz w:val="20"/>
        </w:rPr>
        <w:t>The Achumawi Life Force, translated by Annette Boushey. The Journal of California Anthropology 2, number 1, pages 60 to 63. Translation of a passage first published in 1928. Full text PDF.</w:t>
      </w:r>
    </w:p>
    <w:p>
      <w:pPr>
        <w:spacing w:after="100" w:line="247" w:lineRule="auto"/>
      </w:pPr>
      <w:hyperlink r:id="rId15">
        <w:r>
          <w:rPr>
            <w:rFonts w:ascii="Calibri" w:hAnsi="Calibri"/>
            <w:sz w:val="20"/>
            <w:color w:val="155D8C"/>
          </w:rPr>
          <w:t>https://escholarship.org/content/qt5b313642/qt5b313642_noSplash_425eb182ca392e0f043081d863756391.pdf</w:t>
        </w:r>
      </w:hyperlink>
    </w:p>
    <w:p>
      <w:pPr>
        <w:keepNext/>
        <w:spacing w:before="140" w:after="40"/>
      </w:pPr>
      <w:r>
        <w:rPr>
          <w:b/>
          <w:sz w:val="20"/>
        </w:rPr>
        <w:t xml:space="preserve">[8] Thomas N Layton 1981. </w:t>
      </w:r>
      <w:r>
        <w:rPr>
          <w:sz w:val="20"/>
        </w:rPr>
        <w:t>Traders and Raiders Aspects of Trans Basin and California Plateau Commerce 1800 to 1830. Journal of California and Great Basin Anthropology 3, number 1, pages 127 to 137. Scholarly article. Full text PDF.</w:t>
      </w:r>
    </w:p>
    <w:p>
      <w:pPr>
        <w:spacing w:after="100" w:line="247" w:lineRule="auto"/>
      </w:pPr>
      <w:hyperlink r:id="rId16">
        <w:r>
          <w:rPr>
            <w:rFonts w:ascii="Calibri" w:hAnsi="Calibri"/>
            <w:sz w:val="20"/>
            <w:color w:val="155D8C"/>
          </w:rPr>
          <w:t>https://escholarship.org/content/qt3793q75r/qt3793q75r_noSplash_bee433ed446bb01d884018abb42333e8.pdf</w:t>
        </w:r>
      </w:hyperlink>
    </w:p>
    <w:p>
      <w:pPr>
        <w:keepNext/>
        <w:spacing w:before="140" w:after="40"/>
      </w:pPr>
      <w:r>
        <w:rPr>
          <w:b/>
          <w:sz w:val="20"/>
        </w:rPr>
        <w:t xml:space="preserve">[9] California Indian History. </w:t>
      </w:r>
      <w:r>
        <w:rPr>
          <w:sz w:val="20"/>
        </w:rPr>
        <w:t>1859 document index. Archival references and summaries of contemporary correspondence and newspapers. Relevant entries include September 30 and October 5 and 19. Individual reports require source criticism.</w:t>
      </w:r>
    </w:p>
    <w:p>
      <w:pPr>
        <w:spacing w:after="100" w:line="247" w:lineRule="auto"/>
      </w:pPr>
      <w:hyperlink r:id="rId17">
        <w:r>
          <w:rPr>
            <w:rFonts w:ascii="Calibri" w:hAnsi="Calibri"/>
            <w:sz w:val="20"/>
            <w:color w:val="155D8C"/>
          </w:rPr>
          <w:t>https://calindianhistory.org/1859-2/</w:t>
        </w:r>
      </w:hyperlink>
    </w:p>
    <w:p>
      <w:pPr>
        <w:keepNext/>
        <w:spacing w:before="140" w:after="40"/>
      </w:pPr>
      <w:r>
        <w:rPr>
          <w:b/>
          <w:sz w:val="20"/>
        </w:rPr>
        <w:t xml:space="preserve">[10] Pit River Tribe 2005. </w:t>
      </w:r>
      <w:r>
        <w:rPr>
          <w:sz w:val="20"/>
        </w:rPr>
        <w:t>Constitution of the Pit River Tribe, updated July 2005. Primary tribal document preserved by the Native American Rights Fund’s National Indian Law Library.</w:t>
      </w:r>
    </w:p>
    <w:p>
      <w:pPr>
        <w:spacing w:after="100" w:line="247" w:lineRule="auto"/>
      </w:pPr>
      <w:hyperlink r:id="rId18">
        <w:r>
          <w:rPr>
            <w:rFonts w:ascii="Calibri" w:hAnsi="Calibri"/>
            <w:sz w:val="20"/>
            <w:color w:val="155D8C"/>
          </w:rPr>
          <w:t>https://www.narf.org/nill/constitutions/pit_river/pitriverconst.html</w:t>
        </w:r>
      </w:hyperlink>
    </w:p>
    <w:p>
      <w:pPr>
        <w:keepNext/>
        <w:spacing w:before="140" w:after="40"/>
      </w:pPr>
      <w:r>
        <w:rPr>
          <w:b/>
          <w:sz w:val="20"/>
        </w:rPr>
        <w:t xml:space="preserve">[11] United States Court of Appeals for the Ninth Circuit 2019. </w:t>
      </w:r>
      <w:r>
        <w:rPr>
          <w:sz w:val="20"/>
        </w:rPr>
        <w:t>Pit River Tribe v Bureau of Land Management, filed September 19, 2019. Judicial opinion preserved by the National Indian Law Library.</w:t>
      </w:r>
    </w:p>
    <w:p>
      <w:pPr>
        <w:spacing w:after="100" w:line="247" w:lineRule="auto"/>
      </w:pPr>
      <w:hyperlink r:id="rId19">
        <w:r>
          <w:rPr>
            <w:rFonts w:ascii="Calibri" w:hAnsi="Calibri"/>
            <w:sz w:val="20"/>
            <w:color w:val="155D8C"/>
          </w:rPr>
          <w:t>https://www.narf.org/nill/bulletins/federal/documents/pit_river_v_blm.html</w:t>
        </w:r>
      </w:hyperlink>
    </w:p>
    <w:p>
      <w:pPr>
        <w:keepNext/>
        <w:spacing w:before="140" w:after="40"/>
      </w:pPr>
      <w:r>
        <w:rPr>
          <w:b/>
          <w:sz w:val="20"/>
        </w:rPr>
        <w:t xml:space="preserve">[12] United States Forest Service. </w:t>
      </w:r>
      <w:r>
        <w:rPr>
          <w:sz w:val="20"/>
        </w:rPr>
        <w:t>Sáttítla Highlands National Monument. Official account of the monument, Indigenous connections and geology.</w:t>
      </w:r>
    </w:p>
    <w:p>
      <w:pPr>
        <w:spacing w:after="100" w:line="247" w:lineRule="auto"/>
      </w:pPr>
      <w:hyperlink r:id="rId20">
        <w:r>
          <w:rPr>
            <w:rFonts w:ascii="Calibri" w:hAnsi="Calibri"/>
            <w:sz w:val="20"/>
            <w:color w:val="155D8C"/>
          </w:rPr>
          <w:t>https://www.fs.usda.gov/visit/national-monuments/sattitla-highlands-national-monument</w:t>
        </w:r>
      </w:hyperlink>
    </w:p>
    <w:p>
      <w:pPr>
        <w:keepNext/>
        <w:spacing w:before="140" w:after="40"/>
      </w:pPr>
      <w:r>
        <w:rPr>
          <w:b/>
          <w:sz w:val="20"/>
        </w:rPr>
        <w:t xml:space="preserve">[13] President Joseph R Biden Jr 2025. </w:t>
      </w:r>
      <w:r>
        <w:rPr>
          <w:sz w:val="20"/>
        </w:rPr>
        <w:t>Proclamation on the Establishment of the Sáttítla Highlands National Monument, January 14, 2025. Primary presidential document held by the National Archives.</w:t>
      </w:r>
    </w:p>
    <w:p>
      <w:pPr>
        <w:spacing w:after="100" w:line="247" w:lineRule="auto"/>
      </w:pPr>
      <w:hyperlink r:id="rId21">
        <w:r>
          <w:rPr>
            <w:rFonts w:ascii="Calibri" w:hAnsi="Calibri"/>
            <w:sz w:val="20"/>
            <w:color w:val="155D8C"/>
          </w:rPr>
          <w:t>https://bidenwhitehouse.archives.gov/briefing-room/statements-releases/2025/01/14/proclamation-on-the-establishment-of-the-sattitla-highlands-national-monument/</w:t>
        </w:r>
      </w:hyperlink>
    </w:p>
    <w:p>
      <w:pPr>
        <w:keepNext/>
        <w:spacing w:before="140" w:after="40"/>
      </w:pPr>
      <w:r>
        <w:rPr>
          <w:b/>
          <w:sz w:val="20"/>
        </w:rPr>
        <w:t xml:space="preserve">[14] Pit River Tribe 2026. </w:t>
      </w:r>
      <w:r>
        <w:rPr>
          <w:sz w:val="20"/>
        </w:rPr>
        <w:t>Pit River Language Sessions, posted March 2, 2026. Primary tribal announcement.</w:t>
      </w:r>
    </w:p>
    <w:p>
      <w:pPr>
        <w:spacing w:after="100" w:line="247" w:lineRule="auto"/>
      </w:pPr>
      <w:hyperlink r:id="rId22">
        <w:r>
          <w:rPr>
            <w:rFonts w:ascii="Calibri" w:hAnsi="Calibri"/>
            <w:sz w:val="20"/>
            <w:color w:val="155D8C"/>
          </w:rPr>
          <w:t>https://pitrivertribe.gov/2026/03/02/pit-river-language-sessions/</w:t>
        </w:r>
      </w:hyperlink>
    </w:p>
    <w:p>
      <w:pPr>
        <w:keepNext/>
        <w:spacing w:before="140" w:after="40"/>
      </w:pPr>
      <w:r>
        <w:rPr>
          <w:b/>
          <w:sz w:val="20"/>
        </w:rPr>
        <w:t xml:space="preserve">[15] Shasta Public Libraries. </w:t>
      </w:r>
      <w:r>
        <w:rPr>
          <w:sz w:val="20"/>
        </w:rPr>
        <w:t>California Indian Library Collections Achomawi Bibliography. Research guide for published scholarship, oral literature and archival materials, including the 1992 edition of Istet Woiche’s Annikadel.</w:t>
      </w:r>
    </w:p>
    <w:p>
      <w:pPr>
        <w:spacing w:after="100" w:line="247" w:lineRule="auto"/>
      </w:pPr>
      <w:hyperlink r:id="rId23">
        <w:r>
          <w:rPr>
            <w:rFonts w:ascii="Calibri" w:hAnsi="Calibri"/>
            <w:sz w:val="20"/>
            <w:color w:val="155D8C"/>
          </w:rPr>
          <w:t>https://www.shastalibraries.org/special-collections/cilc-achomawi/</w:t>
        </w:r>
      </w:hyperlink>
    </w:p>
    <w:sectPr w:rsidR="00FC693F" w:rsidRPr="0006063C" w:rsidSect="00034616">
      <w:footerReference w:type="default" r:id="rId24"/>
      <w:pgSz w:w="12240" w:h="15840"/>
      <w:pgMar w:top="1123" w:right="1224" w:bottom="1037" w:left="1224" w:header="720"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1" w:lineRule="auto" w:after="140"/>
    </w:pPr>
    <w:rPr>
      <w:rFonts w:ascii="Georgia" w:hAnsi="Georgia" w:eastAsia="Georgia"/>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Calibri" w:hAnsi="Calibri" w:eastAsia="Georgia"/>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Georgia"/>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keepNext/>
      <w:spacing w:after="160" w:line="240" w:lineRule="auto"/>
      <w:contextualSpacing/>
    </w:pPr>
    <w:rPr>
      <w:rFonts w:ascii="Calibri" w:hAnsi="Calibri" w:eastAsia="Georgia"/>
      <w:b/>
      <w:color w:val="000000"/>
      <w:spacing w:val="5"/>
      <w:kern w:val="28"/>
      <w:sz w:val="46"/>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80"/>
    </w:pPr>
    <w:rPr>
      <w:rFonts w:ascii="Georgia" w:hAnsi="Georgia" w:eastAsia="Georgia"/>
      <w:i/>
      <w:iCs/>
      <w:color w:val="000000"/>
      <w:spacing w:val="15"/>
      <w:sz w:val="22"/>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itrivertribe.gov/" TargetMode="External"/><Relationship Id="rId10" Type="http://schemas.openxmlformats.org/officeDocument/2006/relationships/hyperlink" Target="https://repository.si.edu/items/0625c939-2703-4eef-9eb9-b59714697028" TargetMode="External"/><Relationship Id="rId11" Type="http://schemas.openxmlformats.org/officeDocument/2006/relationships/hyperlink" Target="https://ia.cpuc.ca.gov/environment/info/esa/pgedivest/swaps/final/swapch_2v.html" TargetMode="External"/><Relationship Id="rId12" Type="http://schemas.openxmlformats.org/officeDocument/2006/relationships/hyperlink" Target="https://cla.berkeley.edu/languages/achumawi.html" TargetMode="External"/><Relationship Id="rId13" Type="http://schemas.openxmlformats.org/officeDocument/2006/relationships/hyperlink" Target="https://www.parks.ca.gov/pages/464/files/AhjumawiLavaSpringsWeb2016.pdf" TargetMode="External"/><Relationship Id="rId14" Type="http://schemas.openxmlformats.org/officeDocument/2006/relationships/hyperlink" Target="https://www.csun.edu/~sg4002/courses/417/readings/indians.pdf" TargetMode="External"/><Relationship Id="rId15" Type="http://schemas.openxmlformats.org/officeDocument/2006/relationships/hyperlink" Target="https://escholarship.org/content/qt5b313642/qt5b313642_noSplash_425eb182ca392e0f043081d863756391.pdf" TargetMode="External"/><Relationship Id="rId16" Type="http://schemas.openxmlformats.org/officeDocument/2006/relationships/hyperlink" Target="https://escholarship.org/content/qt3793q75r/qt3793q75r_noSplash_bee433ed446bb01d884018abb42333e8.pdf" TargetMode="External"/><Relationship Id="rId17" Type="http://schemas.openxmlformats.org/officeDocument/2006/relationships/hyperlink" Target="https://calindianhistory.org/1859-2/" TargetMode="External"/><Relationship Id="rId18" Type="http://schemas.openxmlformats.org/officeDocument/2006/relationships/hyperlink" Target="https://www.narf.org/nill/constitutions/pit_river/pitriverconst.html" TargetMode="External"/><Relationship Id="rId19" Type="http://schemas.openxmlformats.org/officeDocument/2006/relationships/hyperlink" Target="https://www.narf.org/nill/bulletins/federal/documents/pit_river_v_blm.html" TargetMode="External"/><Relationship Id="rId20" Type="http://schemas.openxmlformats.org/officeDocument/2006/relationships/hyperlink" Target="https://www.fs.usda.gov/visit/national-monuments/sattitla-highlands-national-monument" TargetMode="External"/><Relationship Id="rId21" Type="http://schemas.openxmlformats.org/officeDocument/2006/relationships/hyperlink" Target="https://bidenwhitehouse.archives.gov/briefing-room/statements-releases/2025/01/14/proclamation-on-the-establishment-of-the-sattitla-highlands-national-monument/" TargetMode="External"/><Relationship Id="rId22" Type="http://schemas.openxmlformats.org/officeDocument/2006/relationships/hyperlink" Target="https://pitrivertribe.gov/2026/03/02/pit-river-language-sessions/" TargetMode="External"/><Relationship Id="rId23" Type="http://schemas.openxmlformats.org/officeDocument/2006/relationships/hyperlink" Target="https://www.shastalibraries.org/special-collections/cilc-achomawi/" TargetMode="Externa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Achumawi History and Culture</dc:title>
  <dc:subject>Achumawi communities and the Pit River Tribe</dc:subject>
  <dc:creator/>
  <cp:keywords>Achumawi, Achomawi, Ajumawi, Pit River, California</cp:keywords>
  <dc:description>generated by python-docx</dc:description>
  <cp:lastModifiedBy/>
  <cp:revision>1</cp:revision>
  <dcterms:created xsi:type="dcterms:W3CDTF">2013-12-23T23:15:00Z</dcterms:created>
  <dcterms:modified xsi:type="dcterms:W3CDTF">2013-12-23T23:15:00Z</dcterms:modified>
  <cp:category/>
</cp:coreProperties>
</file>