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Acoma Pueblo History and Culture</w:t>
      </w:r>
    </w:p>
    <w:p>
      <w:pPr>
        <w:pStyle w:val="Subtitle"/>
      </w:pPr>
      <w:r>
        <w:t>Origins colonial encounters and a living nation</w:t>
      </w:r>
    </w:p>
    <w:p>
      <w:r>
        <w:t xml:space="preserve">Acoma Pueblo is a federally recognized Native nation in west central New Mexico. Its historic mesa village, Haak’u, is often called Sky City. Acoma’s history includes centuries of farming, Spanish conquest, a major revolt and long struggles over land and water. Its people have maintained their community through these changes and continue to shape its future through tribal government, art and language preservation. </w:t>
      </w:r>
      <w:r>
        <w:rPr>
          <w:sz w:val="20"/>
        </w:rPr>
        <w:t>[1, 3, 16]</w:t>
      </w:r>
      <w:r/>
    </w:p>
    <w:p>
      <w:pPr>
        <w:pStyle w:val="Heading1"/>
      </w:pPr>
      <w:r>
        <w:t>The people and their homeland</w:t>
      </w:r>
    </w:p>
    <w:p>
      <w:r>
        <w:t xml:space="preserve">Acoma lies about 60 miles west of Albuquerque. The nation includes the mesa village and communities below it, including Acomita and McCartys. The Rio San Jose connects these communities to a wider farming landscape. The word Pueblo comes from Spanish and means town or village. Spaniards used it for many settled Native communities, but those communities had their own languages, governments and identities. Acoma is one distinct nation within this larger Pueblo world. </w:t>
      </w:r>
      <w:r>
        <w:rPr>
          <w:sz w:val="20"/>
        </w:rPr>
        <w:t>[2, 3]</w:t>
      </w:r>
      <w:r/>
    </w:p>
    <w:p>
      <w:r>
        <w:t xml:space="preserve">Acoma people speak a form of Keres, also called Keresan. Other Keres speaking Pueblos include Laguna, Zia and several communities along the Rio Grande. Shared language does not make them one political community. Their separate histories and local traditions matter when studying them. Acoma’s own account explains its name as a place always prepared and identifies Haak’u as a homeland with deep spiritual meaning. </w:t>
      </w:r>
      <w:r>
        <w:rPr>
          <w:sz w:val="20"/>
        </w:rPr>
        <w:t>[1, 2]</w:t>
      </w:r>
      <w:r/>
    </w:p>
    <w:p>
      <w:pPr>
        <w:pStyle w:val="Heading1"/>
      </w:pPr>
      <w:r>
        <w:t>How old is Acoma</w:t>
      </w:r>
    </w:p>
    <w:p>
      <w:r>
        <w:t xml:space="preserve">Acoma is among the oldest continuously occupied communities in what is now the United States. A precise founding year is harder to establish. The Pueblo’s website states that continuous occupation is accepted from at least about 1200 CE. The National Park Service places the oldest surviving remains around 1100 CE. These dates describe surviving material evidence. They do not establish the beginning of Acoma identity or the earliest human presence in the surrounding country. </w:t>
      </w:r>
      <w:r>
        <w:rPr>
          <w:sz w:val="20"/>
        </w:rPr>
        <w:t>[1, 4]</w:t>
      </w:r>
      <w:r/>
    </w:p>
    <w:p>
      <w:r>
        <w:t xml:space="preserve">Acoma oral history places the community’s relationship with its homeland in a much deeper past. Oral traditions carry knowledge about belonging, sacred places and obligations between generations. Archaeology studies physical remains such as buildings and pottery. Each supplies evidence about the past, although they answer different questions. Describing Acoma as an ancient living community is better supported than assigning it a single certain birthday. </w:t>
      </w:r>
      <w:r>
        <w:rPr>
          <w:sz w:val="20"/>
        </w:rPr>
        <w:t>[1, 4]</w:t>
      </w:r>
      <w:r/>
    </w:p>
    <w:p>
      <w:pPr>
        <w:pStyle w:val="Heading1"/>
      </w:pPr>
      <w:r>
        <w:t>Farming family and village life</w:t>
      </w:r>
    </w:p>
    <w:p>
      <w:r>
        <w:t xml:space="preserve">Agriculture helped support settled Pueblo life. Corn, beans and squash were major foods across the region. Farmers worked within a dry environment where the timing and movement of water shaped the growing season. Food production was tied to cooperation between families and to ceremonies concerning rain and the land. Trade connected farming communities with neighboring peoples and helped circulate food, pottery and other goods. </w:t>
      </w:r>
      <w:r>
        <w:rPr>
          <w:sz w:val="20"/>
        </w:rPr>
        <w:t>[2]</w:t>
      </w:r>
      <w:r/>
    </w:p>
    <w:p>
      <w:r>
        <w:t xml:space="preserve">Family ties also shaped Acoma society. Acoma has a matrilineal tradition, meaning that family descent is traced through the mother’s line. Women’s relationships to homes and property could carry legal force. In a later account published by the University of California Davis School of Law, attorney Michael Taylor recalled an Acoma marriage case in which his co-counsel Ruth Paisano explained the wife’s property rights under Pueblo law. The example shows why outside assumptions about marriage and ownership can misread Acoma institutions. It is a recollection of one case rather than a complete statement of present tribal law. </w:t>
      </w:r>
      <w:r>
        <w:rPr>
          <w:sz w:val="20"/>
        </w:rPr>
        <w:t>[17]</w:t>
      </w:r>
      <w:r/>
    </w:p>
    <w:p>
      <w:r>
        <w:t xml:space="preserve">The mesa made the village easier to defend, but daily life also depended on the valleys below. Early Spanish visitors described houses several stories high and abundant food stores. Building and maintaining the settlement required generations of skilled work. </w:t>
      </w:r>
      <w:r>
        <w:rPr>
          <w:sz w:val="20"/>
        </w:rPr>
        <w:t>[5]</w:t>
      </w:r>
      <w:r/>
    </w:p>
    <w:p>
      <w:pPr>
        <w:pStyle w:val="Heading1"/>
      </w:pPr>
      <w:r>
        <w:t>Spanish arrival and the attack of 1599</w:t>
      </w:r>
    </w:p>
    <w:p>
      <w:r>
        <w:t xml:space="preserve">Hernando de Alvarado visited Acoma during the Coronado expedition in 1540. Further expeditions followed in the 1580s. In 1598, Juan de Oñate brought colonists into New Mexico. Acoma’s tribal history describes confusion over an act of obedience to the Spanish king and the conflict that followed. </w:t>
      </w:r>
      <w:r>
        <w:rPr>
          <w:sz w:val="20"/>
        </w:rPr>
        <w:t>[5]</w:t>
      </w:r>
      <w:r/>
    </w:p>
    <w:p>
      <w:r>
        <w:t xml:space="preserve">In December 1598, a confrontation involving demands for provisions ended with the deaths of Captain Juan de Zaldívar and other Spanish soldiers at Acoma. Oñate ordered a punitive expedition under Juan’s brother, Vicente de Zaldívar. In January 1599, Spanish forces attacked the mesa community, used a cannon and burned buildings. Acoma surrendered after several days of fighting. </w:t>
      </w:r>
      <w:r>
        <w:rPr>
          <w:sz w:val="20"/>
        </w:rPr>
        <w:t>[6]</w:t>
      </w:r>
      <w:r/>
    </w:p>
    <w:p>
      <w:r>
        <w:t xml:space="preserve">Hundreds of Acoma people died. About 800 is a frequently repeated estimate, but the surviving accounts do not support an exact modern count. Historian Henry Warner Bowden’s published references give a range of 600 to 800 deaths and roughly 500 people enslaved. The Pueblo’s own history reports about 500 prisoners. These figures establish the scale of the disaster while leaving uncertainty about the totals. </w:t>
      </w:r>
      <w:r>
        <w:rPr>
          <w:sz w:val="20"/>
        </w:rPr>
        <w:t>[5, 18]</w:t>
      </w:r>
      <w:r/>
    </w:p>
    <w:p>
      <w:r>
        <w:t xml:space="preserve">The sentence recorded in Neil Mangum’s National Park Service history ordered men over 25 to lose a foot and provide 20 years of forced service. Younger males and women in specified age groups also faced long terms of forced service. Describing these punishments as sentences makes clear what the Spanish authorities ordered; it does not prove how every punishment was carried out. Calling the service slavery or enslavement conveys the coercion more clearly than the colonial phrase personal service. </w:t>
      </w:r>
      <w:r>
        <w:rPr>
          <w:sz w:val="20"/>
        </w:rPr>
        <w:t>[6]</w:t>
      </w:r>
      <w:r/>
    </w:p>
    <w:p>
      <w:r>
        <w:t xml:space="preserve">Spanish authorities later investigated Oñate. Acoma’s history records convictions for unjustified executions and indiscriminate killing, followed by banishment from New Mexico. Spanish officials themselves judged his conduct unlawful, although the investigation could not undo the damage. </w:t>
      </w:r>
      <w:r>
        <w:rPr>
          <w:sz w:val="20"/>
        </w:rPr>
        <w:t>[5]</w:t>
      </w:r>
      <w:r/>
    </w:p>
    <w:p>
      <w:pPr>
        <w:pStyle w:val="Heading1"/>
      </w:pPr>
      <w:r>
        <w:t>Rebuilding and San Esteban del Rey</w:t>
      </w:r>
    </w:p>
    <w:p>
      <w:r>
        <w:t xml:space="preserve">Acoma people rebuilt after the destruction. Colonial rule continued, and civil officials and Franciscan missionaries competed over authority. The Pueblo’s account describes Native complaints about abuses and orders issued in 1620 concerning Pueblo administration. It also places Fray Juan Ramirez’s arrival at Acoma in 1629 within renewed Franciscan efforts to establish missions. </w:t>
      </w:r>
      <w:r>
        <w:rPr>
          <w:sz w:val="20"/>
        </w:rPr>
        <w:t>[7]</w:t>
      </w:r>
      <w:r/>
    </w:p>
    <w:p>
      <w:r>
        <w:t xml:space="preserve">The surviving San Esteban del Rey Mission Church is usually associated with building work that began after Ramirez arrived. The National Park Service cautions that its exact construction dates are uncertain. Acoma workers carried materials up the mesa, including large roof beams brought from distant mountains. The church’s size reflects both the demands of the mission system and the skill and labor of the people who built it. </w:t>
      </w:r>
      <w:r>
        <w:rPr>
          <w:sz w:val="20"/>
        </w:rPr>
        <w:t>[4]</w:t>
      </w:r>
      <w:r/>
    </w:p>
    <w:p>
      <w:r>
        <w:t xml:space="preserve">The church remains part of Acoma heritage. The Pueblo identifies its caretakers as the Gaugashti, men with a continuing responsibility to maintain the building. Its survival depends on work by successive generations. Their care of the structure gives the history an Acoma perspective: a building introduced through colonial rule can acquire lasting local responsibilities and meanings. </w:t>
      </w:r>
      <w:r>
        <w:rPr>
          <w:sz w:val="20"/>
        </w:rPr>
        <w:t>[8]</w:t>
      </w:r>
      <w:r/>
    </w:p>
    <w:p>
      <w:pPr>
        <w:pStyle w:val="Heading1"/>
      </w:pPr>
      <w:r>
        <w:t>The Pueblo Revolt and renewed Spanish rule</w:t>
      </w:r>
    </w:p>
    <w:p>
      <w:r>
        <w:t xml:space="preserve">In 1680, Acoma joined other Pueblo communities in a revolt against Spanish rule. The uprising challenged colonial power and the suppression of Native religious life. At Acoma, the resident priest and other Spaniards were killed, while the mission church survived. Spanish control returned to Acoma by 1699. Catholic observance and Indigenous religious practices continued together in the community. </w:t>
      </w:r>
      <w:r>
        <w:rPr>
          <w:sz w:val="20"/>
        </w:rPr>
        <w:t>[4]</w:t>
      </w:r>
      <w:r/>
    </w:p>
    <w:p>
      <w:r>
        <w:t xml:space="preserve">The sources require care. Bowden points out that much surviving written evidence comes from Europeans whose accounts carried their own religious and political assumptions. He also notes the loss of church and government records during the fighting of 1680 to 1696. His article was published in 1975 and uses some language now considered dated. Its discussion of the uneven written record remains useful, especially when read alongside Acoma’s own histories. </w:t>
      </w:r>
      <w:r>
        <w:rPr>
          <w:sz w:val="20"/>
        </w:rPr>
        <w:t>[18]</w:t>
      </w:r>
      <w:r/>
    </w:p>
    <w:p>
      <w:pPr>
        <w:pStyle w:val="Heading1"/>
      </w:pPr>
      <w:r>
        <w:t>Mexico the United States and land rights</w:t>
      </w:r>
    </w:p>
    <w:p>
      <w:r>
        <w:t xml:space="preserve">Mexican independence in 1821 placed New Mexico under a new national government. United States forces occupied the region in 1846, and the Treaty of Guadalupe Hidalgo transferred it to the United States in 1848. Acoma people continued living on their homeland through each change of outside government. </w:t>
      </w:r>
      <w:r>
        <w:rPr>
          <w:sz w:val="20"/>
        </w:rPr>
        <w:t>[3]</w:t>
      </w:r>
      <w:r/>
    </w:p>
    <w:p>
      <w:r>
        <w:t xml:space="preserve">Acoma and Laguna also had disputes of their own. Deborah A. Rosen’s legal history article describes a conflict over a painting of Saint Joseph shortly after the U.S. occupation. Acoma claimed it had lent the painting to Laguna for Holy Week and that Laguna had refused to return it. Both communities claimed ownership and associated it with life giving rain. The example connects religion, agriculture and property within the changing legal world of nineteenth century New Mexico. This account follows the article’s publicly available extract. </w:t>
      </w:r>
      <w:r>
        <w:rPr>
          <w:sz w:val="20"/>
        </w:rPr>
        <w:t>[9]</w:t>
      </w:r>
      <w:r/>
    </w:p>
    <w:p>
      <w:r>
        <w:t xml:space="preserve">Acoma’s official landholding record shows that its territory was shaped by several legal processes. The document lists an older Pueblo grant, federal actions, land exchanges and purchases. Examples include a railroad exchange in 1939, a federal act in 1949 and the purchase of Red Lake Ranch in 1989. These entries show sustained efforts to strengthen the land base. The document includes transactions through 2008 and should be read as a dated record, rather than a current acreage total. </w:t>
      </w:r>
      <w:r>
        <w:rPr>
          <w:sz w:val="20"/>
        </w:rPr>
        <w:t>[11]</w:t>
      </w:r>
      <w:r/>
    </w:p>
    <w:p>
      <w:r>
        <w:t xml:space="preserve">Government also carries older symbols of authority. Acoma’s Canes of Power account describes silver headed staffs passed between Pueblo governors. Such objects became part of the public recognition of Pueblo leadership under Spanish rule. Their continuing importance helps explain how Acoma institutions could adapt forms associated with outside governments while maintaining community authority. </w:t>
      </w:r>
      <w:r>
        <w:rPr>
          <w:sz w:val="20"/>
        </w:rPr>
        <w:t>[10]</w:t>
      </w:r>
      <w:r/>
    </w:p>
    <w:p>
      <w:pPr>
        <w:pStyle w:val="Heading1"/>
      </w:pPr>
      <w:r>
        <w:t>Water and the farming landscape</w:t>
      </w:r>
    </w:p>
    <w:p>
      <w:r>
        <w:t xml:space="preserve">Access to land did not guarantee access to water. In congressional testimony in 2022, Assistant Secretary for Indian Affairs Bryan Newland described the effects of upstream development on Acoma and Laguna. Diversions associated with Fort Wingate and later settlements reduced water reaching the Rio San Jose. A dam on Bluewater Creek and increased groundwater pumping caused further losses. </w:t>
      </w:r>
      <w:r>
        <w:rPr>
          <w:sz w:val="20"/>
        </w:rPr>
        <w:t>[12]</w:t>
      </w:r>
      <w:r/>
    </w:p>
    <w:p>
      <w:r>
        <w:t xml:space="preserve">The testimony also linked twentieth century uranium mining and milling to declining groundwater and spring flows. These changes harmed the water supply on which Pueblo agriculture depended. The history matters because water disputes concern the ability to keep farming and sustain community life. The 2022 testimony explains the background to settlement proposals at that time; it does not establish the current status of those proposals. </w:t>
      </w:r>
      <w:r>
        <w:rPr>
          <w:sz w:val="20"/>
        </w:rPr>
        <w:t>[12]</w:t>
      </w:r>
      <w:r/>
    </w:p>
    <w:p>
      <w:pPr>
        <w:pStyle w:val="Heading1"/>
      </w:pPr>
      <w:r>
        <w:t>Pottery and artistic knowledge</w:t>
      </w:r>
    </w:p>
    <w:p>
      <w:r>
        <w:t xml:space="preserve">Acoma pottery is known for thin walls, light surfaces and carefully painted designs. Geometric patterns, birds and plant forms appear in its artistic traditions. Wichita State University’s Holmes Museum identifies Lucy Lewis and Marie Chino as important artists who adapted older designs to the vessels they made. Pottery connected household knowledge with changing opportunities to earn income through sales. </w:t>
      </w:r>
      <w:r>
        <w:rPr>
          <w:sz w:val="20"/>
        </w:rPr>
        <w:t>[3]</w:t>
      </w:r>
      <w:r/>
    </w:p>
    <w:p>
      <w:r>
        <w:t xml:space="preserve">Lucy M. Lewis learned by watching other women and by working with clay herself. The Smithsonian describes her fine black line designs and her use of ancestral pottery as a source of ideas. She sold work along roads such as Route 66 before her pottery entered major museum collections. Her example shows how individual creativity could grow from community learning. Children and grandchildren continued making pottery, passing skills through family relationships. </w:t>
      </w:r>
      <w:r>
        <w:rPr>
          <w:sz w:val="20"/>
        </w:rPr>
        <w:t>[13]</w:t>
      </w:r>
      <w:r/>
    </w:p>
    <w:p>
      <w:pPr>
        <w:pStyle w:val="Heading1"/>
      </w:pPr>
      <w:r>
        <w:t>Language preservation and cultural ownership</w:t>
      </w:r>
    </w:p>
    <w:p>
      <w:r>
        <w:t xml:space="preserve">Acoma’s cultural preservation history describes a community survey in 1997 that found fewer children learning Keres as their first language. In 1999, the Pueblo established a language retention program and a historic preservation office. The preservation work included building skills, pottery, weaving and other knowledge. These efforts treated language and culture as responsibilities to younger generations. </w:t>
      </w:r>
      <w:r>
        <w:rPr>
          <w:sz w:val="20"/>
        </w:rPr>
        <w:t>[14]</w:t>
      </w:r>
      <w:r/>
    </w:p>
    <w:p>
      <w:r>
        <w:t xml:space="preserve">The Pueblo’s language program describes a dictionary project begun in 2017, with fluent speakers reviewing words and phrases. Its public account explains that culturally sensitive terms are excluded. Writing teaching materials represents an adaptation for a language traditionally passed through speech. It also demonstrates that the community can decide what knowledge belongs in public resources and what remains restricted. </w:t>
      </w:r>
      <w:r>
        <w:rPr>
          <w:sz w:val="20"/>
        </w:rPr>
        <w:t>[15]</w:t>
      </w:r>
      <w:r/>
    </w:p>
    <w:p>
      <w:r>
        <w:t xml:space="preserve">The recovery of a ceremonial shield provides another example of cultural ownership. A shield sacred to Acoma appeared in a Paris auction catalog in 2016. Tribal identification and a U.S. legal action helped secure its release in 2019. The Justice Department explained that, under Acoma law, an individual could not transfer it outside the Pueblo. Its caretaker held a responsibility to the community. The case shows why possession by a collector does not necessarily establish a right to sell a sacred object. </w:t>
      </w:r>
      <w:r>
        <w:rPr>
          <w:sz w:val="20"/>
        </w:rPr>
        <w:t>[16]</w:t>
      </w:r>
      <w:r/>
    </w:p>
    <w:p>
      <w:r>
        <w:t xml:space="preserve">Acoma’s continuing history is visible in these specific activities: families teach pottery, caretakers maintain the church and language workers develop materials for learners. Land purchases and water claims address the resources needed to sustain the community. Studying these efforts alongside conquest and resistance gives a fuller account of how Acoma people have maintained their nation. </w:t>
      </w:r>
      <w:r>
        <w:rPr>
          <w:sz w:val="20"/>
        </w:rPr>
        <w:t>[8, 11–16]</w:t>
      </w:r>
      <w:r/>
    </w:p>
    <w:p>
      <w:r>
        <w:br w:type="page"/>
      </w:r>
    </w:p>
    <w:p>
      <w:pPr>
        <w:pStyle w:val="Heading1"/>
      </w:pPr>
      <w:r>
        <w:t>Timeline</w:t>
      </w:r>
    </w:p>
    <w:p>
      <w:pPr>
        <w:spacing w:after="180"/>
      </w:pPr>
      <w:r>
        <w:t>Dates identify major events discussed in the study. Numbers refer to the sources that follow.</w:t>
      </w:r>
    </w:p>
    <w:tbl>
      <w:tblPr>
        <w:tblW w:type="auto" w:w="0"/>
        <w:jc w:val="center"/>
        <w:tblLayout w:type="fixed"/>
        <w:tblLook w:firstColumn="1" w:firstRow="1" w:lastColumn="0" w:lastRow="0" w:noHBand="0" w:noVBand="1" w:val="04A0"/>
      </w:tblPr>
      <w:tblGrid>
        <w:gridCol w:w="1944"/>
        <w:gridCol w:w="7560"/>
      </w:tblGrid>
      <w:tr>
        <w:trPr>
          <w:tblHeader/>
          <w:cantSplit/>
        </w:trPr>
        <w:tc>
          <w:tcPr>
            <w:tcW w:type="dxa" w:w="1944"/>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E5E5E5"/>
          </w:tcPr>
          <w:p>
            <w:pPr>
              <w:keepNext w:val="0"/>
              <w:spacing w:after="0" w:line="252" w:lineRule="auto"/>
              <w:jc w:val="center"/>
            </w:pPr>
            <w:r>
              <w:rPr>
                <w:rFonts w:ascii="Calibri" w:hAnsi="Calibri"/>
                <w:b/>
                <w:sz w:val="21"/>
              </w:rPr>
              <w:t>Date</w:t>
            </w:r>
          </w:p>
        </w:tc>
        <w:tc>
          <w:tcPr>
            <w:tcW w:type="dxa" w:w="7560"/>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E5E5E5"/>
          </w:tcPr>
          <w:p>
            <w:pPr>
              <w:keepNext w:val="0"/>
              <w:spacing w:after="0" w:line="252" w:lineRule="auto"/>
              <w:jc w:val="left"/>
            </w:pPr>
            <w:r>
              <w:rPr>
                <w:rFonts w:ascii="Calibri" w:hAnsi="Calibri"/>
                <w:b/>
                <w:sz w:val="21"/>
              </w:rPr>
              <w:t>Event</w:t>
            </w:r>
          </w:p>
        </w:tc>
      </w:tr>
      <w:tr>
        <w:trPr>
          <w:cantSplit/>
        </w:trPr>
        <w:tc>
          <w:tcPr>
            <w:tcW w:type="dxa" w:w="1944"/>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center"/>
            </w:pPr>
            <w:r>
              <w:rPr>
                <w:rFonts w:ascii="Calibri" w:hAnsi="Calibri"/>
                <w:b w:val="0"/>
                <w:sz w:val="21"/>
              </w:rPr>
              <w:t>About 1100 to 1200 CE</w:t>
            </w:r>
          </w:p>
        </w:tc>
        <w:tc>
          <w:tcPr>
            <w:tcW w:type="dxa" w:w="7560"/>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left"/>
            </w:pPr>
            <w:r>
              <w:rPr>
                <w:rFonts w:ascii="Calibri" w:hAnsi="Calibri"/>
                <w:b w:val="0"/>
                <w:sz w:val="21"/>
              </w:rPr>
              <w:t>Surviving remains and evidence of continuous occupation place the mesa community in the medieval period. [1, 4]</w:t>
            </w:r>
          </w:p>
        </w:tc>
      </w:tr>
      <w:tr>
        <w:trPr>
          <w:cantSplit/>
        </w:trPr>
        <w:tc>
          <w:tcPr>
            <w:tcW w:type="dxa" w:w="1944"/>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center"/>
            </w:pPr>
            <w:r>
              <w:rPr>
                <w:rFonts w:ascii="Calibri" w:hAnsi="Calibri"/>
                <w:b w:val="0"/>
                <w:sz w:val="21"/>
              </w:rPr>
              <w:t>1540</w:t>
            </w:r>
          </w:p>
        </w:tc>
        <w:tc>
          <w:tcPr>
            <w:tcW w:type="dxa" w:w="7560"/>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left"/>
            </w:pPr>
            <w:r>
              <w:rPr>
                <w:rFonts w:ascii="Calibri" w:hAnsi="Calibri"/>
                <w:b w:val="0"/>
                <w:sz w:val="21"/>
              </w:rPr>
              <w:t>Hernando de Alvarado visits Acoma during the Coronado expedition. [5]</w:t>
            </w:r>
          </w:p>
        </w:tc>
      </w:tr>
      <w:tr>
        <w:trPr>
          <w:cantSplit/>
        </w:trPr>
        <w:tc>
          <w:tcPr>
            <w:tcW w:type="dxa" w:w="1944"/>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center"/>
            </w:pPr>
            <w:r>
              <w:rPr>
                <w:rFonts w:ascii="Calibri" w:hAnsi="Calibri"/>
                <w:b w:val="0"/>
                <w:sz w:val="21"/>
              </w:rPr>
              <w:t>1598</w:t>
            </w:r>
          </w:p>
        </w:tc>
        <w:tc>
          <w:tcPr>
            <w:tcW w:type="dxa" w:w="7560"/>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left"/>
            </w:pPr>
            <w:r>
              <w:rPr>
                <w:rFonts w:ascii="Calibri" w:hAnsi="Calibri"/>
                <w:b w:val="0"/>
                <w:sz w:val="21"/>
              </w:rPr>
              <w:t>Oñate begins colonization; a December confrontation kills Juan de Zaldívar and other Spanish soldiers. [5, 6]</w:t>
            </w:r>
          </w:p>
        </w:tc>
      </w:tr>
      <w:tr>
        <w:trPr>
          <w:cantSplit/>
        </w:trPr>
        <w:tc>
          <w:tcPr>
            <w:tcW w:type="dxa" w:w="1944"/>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center"/>
            </w:pPr>
            <w:r>
              <w:rPr>
                <w:rFonts w:ascii="Calibri" w:hAnsi="Calibri"/>
                <w:b w:val="0"/>
                <w:sz w:val="21"/>
              </w:rPr>
              <w:t>January 1599</w:t>
            </w:r>
          </w:p>
        </w:tc>
        <w:tc>
          <w:tcPr>
            <w:tcW w:type="dxa" w:w="7560"/>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left"/>
            </w:pPr>
            <w:r>
              <w:rPr>
                <w:rFonts w:ascii="Calibri" w:hAnsi="Calibri"/>
                <w:b w:val="0"/>
                <w:sz w:val="21"/>
              </w:rPr>
              <w:t>Spanish forces destroy much of Acoma and impose severe punishments on survivors. [6]</w:t>
            </w:r>
          </w:p>
        </w:tc>
      </w:tr>
      <w:tr>
        <w:trPr>
          <w:cantSplit/>
        </w:trPr>
        <w:tc>
          <w:tcPr>
            <w:tcW w:type="dxa" w:w="1944"/>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center"/>
            </w:pPr>
            <w:r>
              <w:rPr>
                <w:rFonts w:ascii="Calibri" w:hAnsi="Calibri"/>
                <w:b w:val="0"/>
                <w:sz w:val="21"/>
              </w:rPr>
              <w:t>1629</w:t>
            </w:r>
          </w:p>
        </w:tc>
        <w:tc>
          <w:tcPr>
            <w:tcW w:type="dxa" w:w="7560"/>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left"/>
            </w:pPr>
            <w:r>
              <w:rPr>
                <w:rFonts w:ascii="Calibri" w:hAnsi="Calibri"/>
                <w:b w:val="0"/>
                <w:sz w:val="21"/>
              </w:rPr>
              <w:t>Fray Juan Ramirez arrives; construction of the surviving mission is associated with this period. [4, 7]</w:t>
            </w:r>
          </w:p>
        </w:tc>
      </w:tr>
      <w:tr>
        <w:trPr>
          <w:cantSplit/>
        </w:trPr>
        <w:tc>
          <w:tcPr>
            <w:tcW w:type="dxa" w:w="1944"/>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center"/>
            </w:pPr>
            <w:r>
              <w:rPr>
                <w:rFonts w:ascii="Calibri" w:hAnsi="Calibri"/>
                <w:b w:val="0"/>
                <w:sz w:val="21"/>
              </w:rPr>
              <w:t>1680</w:t>
            </w:r>
          </w:p>
        </w:tc>
        <w:tc>
          <w:tcPr>
            <w:tcW w:type="dxa" w:w="7560"/>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left"/>
            </w:pPr>
            <w:r>
              <w:rPr>
                <w:rFonts w:ascii="Calibri" w:hAnsi="Calibri"/>
                <w:b w:val="0"/>
                <w:sz w:val="21"/>
              </w:rPr>
              <w:t>Acoma participates in the Pueblo Revolt. [4]</w:t>
            </w:r>
          </w:p>
        </w:tc>
      </w:tr>
      <w:tr>
        <w:trPr>
          <w:cantSplit/>
        </w:trPr>
        <w:tc>
          <w:tcPr>
            <w:tcW w:type="dxa" w:w="1944"/>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center"/>
            </w:pPr>
            <w:r>
              <w:rPr>
                <w:rFonts w:ascii="Calibri" w:hAnsi="Calibri"/>
                <w:b w:val="0"/>
                <w:sz w:val="21"/>
              </w:rPr>
              <w:t>By 1699</w:t>
            </w:r>
          </w:p>
        </w:tc>
        <w:tc>
          <w:tcPr>
            <w:tcW w:type="dxa" w:w="7560"/>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left"/>
            </w:pPr>
            <w:r>
              <w:rPr>
                <w:rFonts w:ascii="Calibri" w:hAnsi="Calibri"/>
                <w:b w:val="0"/>
                <w:sz w:val="21"/>
              </w:rPr>
              <w:t>Spanish control returns to Acoma. [4]</w:t>
            </w:r>
          </w:p>
        </w:tc>
      </w:tr>
      <w:tr>
        <w:trPr>
          <w:cantSplit/>
        </w:trPr>
        <w:tc>
          <w:tcPr>
            <w:tcW w:type="dxa" w:w="1944"/>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center"/>
            </w:pPr>
            <w:r>
              <w:rPr>
                <w:rFonts w:ascii="Calibri" w:hAnsi="Calibri"/>
                <w:b w:val="0"/>
                <w:sz w:val="21"/>
              </w:rPr>
              <w:t>1821</w:t>
            </w:r>
          </w:p>
        </w:tc>
        <w:tc>
          <w:tcPr>
            <w:tcW w:type="dxa" w:w="7560"/>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left"/>
            </w:pPr>
            <w:r>
              <w:rPr>
                <w:rFonts w:ascii="Calibri" w:hAnsi="Calibri"/>
                <w:b w:val="0"/>
                <w:sz w:val="21"/>
              </w:rPr>
              <w:t>New Mexico passes from Spanish to Mexican rule. [3]</w:t>
            </w:r>
          </w:p>
        </w:tc>
      </w:tr>
      <w:tr>
        <w:trPr>
          <w:cantSplit/>
        </w:trPr>
        <w:tc>
          <w:tcPr>
            <w:tcW w:type="dxa" w:w="1944"/>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center"/>
            </w:pPr>
            <w:r>
              <w:rPr>
                <w:rFonts w:ascii="Calibri" w:hAnsi="Calibri"/>
                <w:b w:val="0"/>
                <w:sz w:val="21"/>
              </w:rPr>
              <w:t>1846 to 1848</w:t>
            </w:r>
          </w:p>
        </w:tc>
        <w:tc>
          <w:tcPr>
            <w:tcW w:type="dxa" w:w="7560"/>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left"/>
            </w:pPr>
            <w:r>
              <w:rPr>
                <w:rFonts w:ascii="Calibri" w:hAnsi="Calibri"/>
                <w:b w:val="0"/>
                <w:sz w:val="21"/>
              </w:rPr>
              <w:t>U.S. occupation is followed by the Treaty of Guadalupe Hidalgo. [3]</w:t>
            </w:r>
          </w:p>
        </w:tc>
      </w:tr>
      <w:tr>
        <w:trPr>
          <w:cantSplit/>
        </w:trPr>
        <w:tc>
          <w:tcPr>
            <w:tcW w:type="dxa" w:w="1944"/>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center"/>
            </w:pPr>
            <w:r>
              <w:rPr>
                <w:rFonts w:ascii="Calibri" w:hAnsi="Calibri"/>
                <w:b w:val="0"/>
                <w:sz w:val="21"/>
              </w:rPr>
              <w:t>1999</w:t>
            </w:r>
          </w:p>
        </w:tc>
        <w:tc>
          <w:tcPr>
            <w:tcW w:type="dxa" w:w="7560"/>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left"/>
            </w:pPr>
            <w:r>
              <w:rPr>
                <w:rFonts w:ascii="Calibri" w:hAnsi="Calibri"/>
                <w:b w:val="0"/>
                <w:sz w:val="21"/>
              </w:rPr>
              <w:t>Acoma establishes language retention and historic preservation programs. [14]</w:t>
            </w:r>
          </w:p>
        </w:tc>
      </w:tr>
      <w:tr>
        <w:trPr>
          <w:cantSplit/>
        </w:trPr>
        <w:tc>
          <w:tcPr>
            <w:tcW w:type="dxa" w:w="1944"/>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center"/>
            </w:pPr>
            <w:r>
              <w:rPr>
                <w:rFonts w:ascii="Calibri" w:hAnsi="Calibri"/>
                <w:b w:val="0"/>
                <w:sz w:val="21"/>
              </w:rPr>
              <w:t>2017</w:t>
            </w:r>
          </w:p>
        </w:tc>
        <w:tc>
          <w:tcPr>
            <w:tcW w:type="dxa" w:w="7560"/>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left"/>
            </w:pPr>
            <w:r>
              <w:rPr>
                <w:rFonts w:ascii="Calibri" w:hAnsi="Calibri"/>
                <w:b w:val="0"/>
                <w:sz w:val="21"/>
              </w:rPr>
              <w:t>The dictionary project described by the language program begins. [15]</w:t>
            </w:r>
          </w:p>
        </w:tc>
      </w:tr>
      <w:tr>
        <w:trPr>
          <w:cantSplit/>
        </w:trPr>
        <w:tc>
          <w:tcPr>
            <w:tcW w:type="dxa" w:w="1944"/>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center"/>
            </w:pPr>
            <w:r>
              <w:rPr>
                <w:rFonts w:ascii="Calibri" w:hAnsi="Calibri"/>
                <w:b w:val="0"/>
                <w:sz w:val="21"/>
              </w:rPr>
              <w:t>2019</w:t>
            </w:r>
          </w:p>
        </w:tc>
        <w:tc>
          <w:tcPr>
            <w:tcW w:type="dxa" w:w="7560"/>
            <w:vAlign w:val="center"/>
            <w:tcMar>
              <w:top w:w="90" w:type="dxa"/>
              <w:bottom w:w="90" w:type="dxa"/>
              <w:left w:w="110" w:type="dxa"/>
              <w:right w:w="110" w:type="dxa"/>
            </w:tcMar>
            <w:tcBorders>
              <w:top w:val="single" w:sz="5" w:color="D9D9D9"/>
              <w:left w:val="single" w:sz="5" w:color="D9D9D9"/>
              <w:bottom w:val="single" w:sz="5" w:color="D9D9D9"/>
              <w:right w:val="single" w:sz="5" w:color="D9D9D9"/>
            </w:tcBorders>
            <w:shd w:fill="FFFFFF"/>
          </w:tcPr>
          <w:p>
            <w:pPr>
              <w:keepNext w:val="0"/>
              <w:spacing w:after="0" w:line="252" w:lineRule="auto"/>
              <w:jc w:val="left"/>
            </w:pPr>
            <w:r>
              <w:rPr>
                <w:rFonts w:ascii="Calibri" w:hAnsi="Calibri"/>
                <w:b w:val="0"/>
                <w:sz w:val="21"/>
              </w:rPr>
              <w:t>Legal and diplomatic efforts secure release of the ceremonial shield from a French auction house. [16]</w:t>
            </w:r>
          </w:p>
        </w:tc>
      </w:tr>
    </w:tbl>
    <w:p>
      <w:r>
        <w:br w:type="page"/>
      </w:r>
    </w:p>
    <w:p>
      <w:pPr>
        <w:pStyle w:val="Heading1"/>
      </w:pPr>
      <w:r>
        <w:t>Sources</w:t>
      </w:r>
    </w:p>
    <w:p>
      <w:pPr>
        <w:spacing w:after="240"/>
      </w:pPr>
      <w:r>
        <w:t>Bracketed numbers in the study match these entries. Each entry includes a direct URL to the source.</w:t>
      </w:r>
    </w:p>
    <w:p>
      <w:pPr>
        <w:keepNext/>
        <w:spacing w:before="140" w:after="60"/>
      </w:pPr>
      <w:r>
        <w:rPr>
          <w:rFonts w:ascii="Calibri" w:hAnsi="Calibri"/>
          <w:b/>
          <w:sz w:val="21"/>
        </w:rPr>
        <w:t>[1] Pueblo of Acoma  About Us</w:t>
      </w:r>
    </w:p>
    <w:p>
      <w:pPr>
        <w:keepNext/>
        <w:spacing w:line="250" w:lineRule="auto" w:after="40"/>
      </w:pPr>
      <w:r>
        <w:rPr>
          <w:sz w:val="21"/>
        </w:rPr>
        <w:t>Official tribal account of the name, homeland and antiquity of the community.</w:t>
      </w:r>
    </w:p>
    <w:p>
      <w:pPr>
        <w:spacing w:after="120" w:line="240" w:lineRule="auto"/>
      </w:pPr>
      <w:hyperlink r:id="rId9">
        <w:r>
          <w:rPr>
            <w:rFonts w:ascii="Calibri" w:hAnsi="Calibri"/>
            <w:sz w:val="20"/>
            <w:color w:val="000000"/>
            <w:u w:val="single"/>
          </w:rPr>
          <w:t>https://www.puebloofacoma.org/about-us/</w:t>
        </w:r>
      </w:hyperlink>
    </w:p>
    <w:p>
      <w:pPr>
        <w:keepNext/>
        <w:spacing w:before="140" w:after="60"/>
      </w:pPr>
      <w:r>
        <w:rPr>
          <w:rFonts w:ascii="Calibri" w:hAnsi="Calibri"/>
          <w:b/>
          <w:sz w:val="21"/>
        </w:rPr>
        <w:t>[2] Central New Mexico Community College  Development of Pueblo Society</w:t>
      </w:r>
    </w:p>
    <w:p>
      <w:pPr>
        <w:keepNext/>
        <w:spacing w:line="250" w:lineRule="auto" w:after="40"/>
      </w:pPr>
      <w:r>
        <w:rPr>
          <w:sz w:val="21"/>
        </w:rPr>
        <w:t>College history text on language, farming and social organization. Its regional descriptions require attention to differences among Pueblos.</w:t>
      </w:r>
    </w:p>
    <w:p>
      <w:pPr>
        <w:spacing w:after="120" w:line="240" w:lineRule="auto"/>
      </w:pPr>
      <w:hyperlink r:id="rId10">
        <w:r>
          <w:rPr>
            <w:rFonts w:ascii="Calibri" w:hAnsi="Calibri"/>
            <w:sz w:val="20"/>
            <w:color w:val="000000"/>
            <w:u w:val="single"/>
          </w:rPr>
          <w:t>https://mytext.cnm.edu/lesson/development-of-pueblo-society/</w:t>
        </w:r>
      </w:hyperlink>
    </w:p>
    <w:p>
      <w:pPr>
        <w:keepNext/>
        <w:spacing w:before="140" w:after="60"/>
      </w:pPr>
      <w:r>
        <w:rPr>
          <w:rFonts w:ascii="Calibri" w:hAnsi="Calibri"/>
          <w:b/>
          <w:sz w:val="21"/>
        </w:rPr>
        <w:t>[3] Wichita State University Holmes Museum  Morgan Collection of Southwest Pottery</w:t>
      </w:r>
    </w:p>
    <w:p>
      <w:pPr>
        <w:keepNext/>
        <w:spacing w:line="250" w:lineRule="auto" w:after="40"/>
      </w:pPr>
      <w:r>
        <w:rPr>
          <w:sz w:val="21"/>
        </w:rPr>
        <w:t>University museum account of Acoma geography, history and pottery, with scholarly further reading.</w:t>
      </w:r>
    </w:p>
    <w:p>
      <w:pPr>
        <w:spacing w:after="120" w:line="240" w:lineRule="auto"/>
      </w:pPr>
      <w:hyperlink r:id="rId11">
        <w:r>
          <w:rPr>
            <w:rFonts w:ascii="Calibri" w:hAnsi="Calibri"/>
            <w:sz w:val="20"/>
            <w:color w:val="000000"/>
            <w:u w:val="single"/>
          </w:rPr>
          <w:t>https://www.wichita.edu/museums/holmes/southwest-pottery.php</w:t>
        </w:r>
      </w:hyperlink>
    </w:p>
    <w:p>
      <w:pPr>
        <w:keepNext/>
        <w:spacing w:before="140" w:after="60"/>
      </w:pPr>
      <w:r>
        <w:rPr>
          <w:rFonts w:ascii="Calibri" w:hAnsi="Calibri"/>
          <w:b/>
          <w:sz w:val="21"/>
        </w:rPr>
        <w:t>[4] National Park Service  San Estevan del Rey Mission Church</w:t>
      </w:r>
    </w:p>
    <w:p>
      <w:pPr>
        <w:keepNext/>
        <w:spacing w:line="250" w:lineRule="auto" w:after="40"/>
      </w:pPr>
      <w:r>
        <w:rPr>
          <w:sz w:val="21"/>
        </w:rPr>
        <w:t>Institutional history of the mesa village, mission and Pueblo Revolt. The church name also appears as San Esteban del Rey.</w:t>
      </w:r>
    </w:p>
    <w:p>
      <w:pPr>
        <w:spacing w:after="120" w:line="240" w:lineRule="auto"/>
      </w:pPr>
      <w:hyperlink r:id="rId12">
        <w:r>
          <w:rPr>
            <w:rFonts w:ascii="Calibri" w:hAnsi="Calibri"/>
            <w:sz w:val="20"/>
            <w:color w:val="000000"/>
            <w:u w:val="single"/>
          </w:rPr>
          <w:t>https://www.nps.gov/subjects/travelspanishmissions/san-estevan-del-rey-mission-church.htm</w:t>
        </w:r>
      </w:hyperlink>
    </w:p>
    <w:p>
      <w:pPr>
        <w:keepNext/>
        <w:spacing w:before="140" w:after="60"/>
      </w:pPr>
      <w:r>
        <w:rPr>
          <w:rFonts w:ascii="Calibri" w:hAnsi="Calibri"/>
          <w:b/>
          <w:sz w:val="21"/>
        </w:rPr>
        <w:t>[5] Pueblo of Acoma  Archaeology and Legend How Old is Acoma</w:t>
      </w:r>
    </w:p>
    <w:p>
      <w:pPr>
        <w:keepNext/>
        <w:spacing w:line="250" w:lineRule="auto" w:after="40"/>
      </w:pPr>
      <w:r>
        <w:rPr>
          <w:sz w:val="21"/>
        </w:rPr>
        <w:t>Official tribal history of Spanish contact, the destruction of Acoma and proceedings against Oñate.</w:t>
      </w:r>
    </w:p>
    <w:p>
      <w:pPr>
        <w:spacing w:after="120" w:line="240" w:lineRule="auto"/>
      </w:pPr>
      <w:hyperlink r:id="rId13">
        <w:r>
          <w:rPr>
            <w:rFonts w:ascii="Calibri" w:hAnsi="Calibri"/>
            <w:sz w:val="20"/>
            <w:color w:val="000000"/>
            <w:u w:val="single"/>
          </w:rPr>
          <w:t>https://www.puebloofacoma.org/about-us/archaeology-and-legend/</w:t>
        </w:r>
      </w:hyperlink>
    </w:p>
    <w:p>
      <w:pPr>
        <w:keepNext/>
        <w:spacing w:before="140" w:after="60"/>
      </w:pPr>
      <w:r>
        <w:rPr>
          <w:rFonts w:ascii="Calibri" w:hAnsi="Calibri"/>
          <w:b/>
          <w:sz w:val="21"/>
        </w:rPr>
        <w:t>[6] Neil C Mangum  In the Land of Frozen Fires  1990</w:t>
      </w:r>
    </w:p>
    <w:p>
      <w:pPr>
        <w:keepNext/>
        <w:spacing w:line="250" w:lineRule="auto" w:after="40"/>
      </w:pPr>
      <w:r>
        <w:rPr>
          <w:sz w:val="21"/>
        </w:rPr>
        <w:t>National Park Service Professional Papers 32. Chapter 2 discusses the attack and reproduces the sentence imposed on survivors.</w:t>
      </w:r>
    </w:p>
    <w:p>
      <w:pPr>
        <w:spacing w:after="120" w:line="240" w:lineRule="auto"/>
      </w:pPr>
      <w:hyperlink r:id="rId14">
        <w:r>
          <w:rPr>
            <w:rFonts w:ascii="Calibri" w:hAnsi="Calibri"/>
            <w:sz w:val="20"/>
            <w:color w:val="000000"/>
            <w:u w:val="single"/>
          </w:rPr>
          <w:t>https://www.nps.gov/elma/learn/historyculture/upload/ELMA_hist.pdf</w:t>
        </w:r>
      </w:hyperlink>
    </w:p>
    <w:p>
      <w:pPr>
        <w:keepNext/>
        <w:spacing w:before="140" w:after="60"/>
      </w:pPr>
      <w:r>
        <w:rPr>
          <w:rFonts w:ascii="Calibri" w:hAnsi="Calibri"/>
          <w:b/>
          <w:sz w:val="21"/>
        </w:rPr>
        <w:t>[7] Pueblo of Acoma  In The Aftermath Rebuilding The Pueblo</w:t>
      </w:r>
    </w:p>
    <w:p>
      <w:pPr>
        <w:keepNext/>
        <w:spacing w:line="250" w:lineRule="auto" w:after="40"/>
      </w:pPr>
      <w:r>
        <w:rPr>
          <w:sz w:val="21"/>
        </w:rPr>
        <w:t>Official tribal discussion of colonial administration and Ramirez’s arrival in 1629.</w:t>
      </w:r>
    </w:p>
    <w:p>
      <w:pPr>
        <w:spacing w:after="120" w:line="240" w:lineRule="auto"/>
      </w:pPr>
      <w:hyperlink r:id="rId15">
        <w:r>
          <w:rPr>
            <w:rFonts w:ascii="Calibri" w:hAnsi="Calibri"/>
            <w:sz w:val="20"/>
            <w:color w:val="000000"/>
            <w:u w:val="single"/>
          </w:rPr>
          <w:t>https://www.puebloofacoma.org/about-us/rebuilding-the-pueblo/</w:t>
        </w:r>
      </w:hyperlink>
    </w:p>
    <w:p>
      <w:pPr>
        <w:keepNext/>
        <w:spacing w:before="140" w:after="60"/>
      </w:pPr>
      <w:r>
        <w:rPr>
          <w:rFonts w:ascii="Calibri" w:hAnsi="Calibri"/>
          <w:b/>
          <w:sz w:val="21"/>
        </w:rPr>
        <w:t>[8] Pueblo of Acoma  Modern Acoma</w:t>
      </w:r>
    </w:p>
    <w:p>
      <w:pPr>
        <w:keepNext/>
        <w:spacing w:line="250" w:lineRule="auto" w:after="40"/>
      </w:pPr>
      <w:r>
        <w:rPr>
          <w:sz w:val="21"/>
        </w:rPr>
        <w:t>Official account of the Gaugashti and continuing cultural preservation.</w:t>
      </w:r>
    </w:p>
    <w:p>
      <w:pPr>
        <w:spacing w:after="120" w:line="240" w:lineRule="auto"/>
      </w:pPr>
      <w:hyperlink r:id="rId16">
        <w:r>
          <w:rPr>
            <w:rFonts w:ascii="Calibri" w:hAnsi="Calibri"/>
            <w:sz w:val="20"/>
            <w:color w:val="000000"/>
            <w:u w:val="single"/>
          </w:rPr>
          <w:t>https://www.puebloofacoma.org/about-us/modern-acoma/</w:t>
        </w:r>
      </w:hyperlink>
    </w:p>
    <w:p>
      <w:pPr>
        <w:keepNext/>
        <w:spacing w:before="140" w:after="60"/>
      </w:pPr>
      <w:r>
        <w:rPr>
          <w:rFonts w:ascii="Calibri" w:hAnsi="Calibri"/>
          <w:b/>
          <w:sz w:val="21"/>
        </w:rPr>
        <w:t>[9] Deborah A Rosen  Acoma v Laguna and the Transition from Spanish Colonial Law to American Civil Procedure in New Mexico  2001</w:t>
      </w:r>
    </w:p>
    <w:p>
      <w:pPr>
        <w:keepNext/>
        <w:spacing w:line="250" w:lineRule="auto" w:after="40"/>
      </w:pPr>
      <w:r>
        <w:rPr>
          <w:sz w:val="21"/>
        </w:rPr>
        <w:t>Law and History Review 19, pages 513 to 546. Public extract and references available; full article requires access.</w:t>
      </w:r>
    </w:p>
    <w:p>
      <w:pPr>
        <w:spacing w:after="120" w:line="240" w:lineRule="auto"/>
      </w:pPr>
      <w:hyperlink r:id="rId17">
        <w:r>
          <w:rPr>
            <w:rFonts w:ascii="Calibri" w:hAnsi="Calibri"/>
            <w:sz w:val="19"/>
            <w:color w:val="000000"/>
            <w:u w:val="single"/>
          </w:rPr>
          <w:t>https://www.cambridge.org/core/journals/law-and-history-review/article/abs/acoma-v-laguna-and-the-transition-from-spanish-colonial-law-to-american-civil-procedure-in-new-mexico/D246524CEF1BFFBA83277FF9EA6F6DFD</w:t>
        </w:r>
      </w:hyperlink>
    </w:p>
    <w:p>
      <w:pPr>
        <w:keepNext/>
        <w:spacing w:before="140" w:after="60"/>
      </w:pPr>
      <w:r>
        <w:rPr>
          <w:rFonts w:ascii="Calibri" w:hAnsi="Calibri"/>
          <w:b/>
          <w:sz w:val="21"/>
        </w:rPr>
        <w:t>[10] Pueblo of Acoma  Canes of Power</w:t>
      </w:r>
    </w:p>
    <w:p>
      <w:pPr>
        <w:keepNext/>
        <w:spacing w:line="250" w:lineRule="auto" w:after="40"/>
      </w:pPr>
      <w:r>
        <w:rPr>
          <w:sz w:val="21"/>
        </w:rPr>
        <w:t>Official tribal account of governors’ staffs and their place in Pueblo leadership.</w:t>
      </w:r>
    </w:p>
    <w:p>
      <w:pPr>
        <w:spacing w:after="120" w:line="240" w:lineRule="auto"/>
      </w:pPr>
      <w:hyperlink r:id="rId18">
        <w:r>
          <w:rPr>
            <w:rFonts w:ascii="Calibri" w:hAnsi="Calibri"/>
            <w:sz w:val="20"/>
            <w:color w:val="000000"/>
            <w:u w:val="single"/>
          </w:rPr>
          <w:t>https://www.puebloofacoma.org/about-us/canes-of-power/</w:t>
        </w:r>
      </w:hyperlink>
    </w:p>
    <w:p>
      <w:pPr>
        <w:keepNext/>
        <w:spacing w:before="140" w:after="60"/>
      </w:pPr>
      <w:r>
        <w:rPr>
          <w:rFonts w:ascii="Calibri" w:hAnsi="Calibri"/>
          <w:b/>
          <w:sz w:val="21"/>
        </w:rPr>
        <w:t>[11] Pueblo of Acoma  Pueblo of Acoma Landholdings</w:t>
      </w:r>
    </w:p>
    <w:p>
      <w:pPr>
        <w:keepNext/>
        <w:spacing w:line="250" w:lineRule="auto" w:after="40"/>
      </w:pPr>
      <w:r>
        <w:rPr>
          <w:sz w:val="21"/>
        </w:rPr>
        <w:t>Primary tribal land inventory with transactions through 2008. It distinguishes grants, trust land, purchases and leases.</w:t>
      </w:r>
    </w:p>
    <w:p>
      <w:pPr>
        <w:spacing w:after="120" w:line="240" w:lineRule="auto"/>
      </w:pPr>
      <w:hyperlink r:id="rId19">
        <w:r>
          <w:rPr>
            <w:rFonts w:ascii="Calibri" w:hAnsi="Calibri"/>
            <w:sz w:val="20"/>
            <w:color w:val="000000"/>
            <w:u w:val="single"/>
          </w:rPr>
          <w:t>https://www.puebloofacoma.org/wp-content/uploads/2021/01/Acoma-Landholdings_Final.pdf</w:t>
        </w:r>
      </w:hyperlink>
    </w:p>
    <w:p>
      <w:pPr>
        <w:keepNext/>
        <w:spacing w:before="140" w:after="60"/>
      </w:pPr>
      <w:r>
        <w:rPr>
          <w:rFonts w:ascii="Calibri" w:hAnsi="Calibri"/>
          <w:b/>
          <w:sz w:val="21"/>
        </w:rPr>
        <w:t>[12] Bryan Newland  Statement on Proposed Tribal Water Settlements  2022</w:t>
      </w:r>
    </w:p>
    <w:p>
      <w:pPr>
        <w:keepNext/>
        <w:spacing w:line="250" w:lineRule="auto" w:after="40"/>
      </w:pPr>
      <w:r>
        <w:rPr>
          <w:sz w:val="21"/>
        </w:rPr>
        <w:t>Primary Interior Department testimony to the Senate Committee on Indian Affairs on proposed water settlements and the history of water depletion.</w:t>
      </w:r>
    </w:p>
    <w:p>
      <w:pPr>
        <w:spacing w:after="120" w:line="240" w:lineRule="auto"/>
      </w:pPr>
      <w:hyperlink r:id="rId20">
        <w:r>
          <w:rPr>
            <w:rFonts w:ascii="Calibri" w:hAnsi="Calibri"/>
            <w:sz w:val="20"/>
            <w:color w:val="000000"/>
            <w:u w:val="single"/>
          </w:rPr>
          <w:t>https://www.doi.gov/node/45271</w:t>
        </w:r>
      </w:hyperlink>
    </w:p>
    <w:p>
      <w:pPr>
        <w:keepNext/>
        <w:spacing w:before="140" w:after="60"/>
      </w:pPr>
      <w:r>
        <w:rPr>
          <w:rFonts w:ascii="Calibri" w:hAnsi="Calibri"/>
          <w:b/>
          <w:sz w:val="21"/>
        </w:rPr>
        <w:t>[13] Smithsonian American Art Museum  Lucy M Lewis</w:t>
      </w:r>
    </w:p>
    <w:p>
      <w:pPr>
        <w:keepNext/>
        <w:spacing w:line="250" w:lineRule="auto" w:after="40"/>
      </w:pPr>
      <w:r>
        <w:rPr>
          <w:sz w:val="21"/>
        </w:rPr>
        <w:t>Museum biography explaining Lewis’s learning, artistic methods and family legacy.</w:t>
      </w:r>
    </w:p>
    <w:p>
      <w:pPr>
        <w:spacing w:after="120" w:line="240" w:lineRule="auto"/>
      </w:pPr>
      <w:hyperlink r:id="rId21">
        <w:r>
          <w:rPr>
            <w:rFonts w:ascii="Calibri" w:hAnsi="Calibri"/>
            <w:sz w:val="20"/>
            <w:color w:val="000000"/>
            <w:u w:val="single"/>
          </w:rPr>
          <w:t>https://americanart.si.edu/artist/lucy-m-lewis-2919</w:t>
        </w:r>
      </w:hyperlink>
    </w:p>
    <w:p>
      <w:pPr>
        <w:keepNext/>
        <w:spacing w:before="140" w:after="60"/>
      </w:pPr>
      <w:r>
        <w:rPr>
          <w:rFonts w:ascii="Calibri" w:hAnsi="Calibri"/>
          <w:b/>
          <w:sz w:val="21"/>
        </w:rPr>
        <w:t>[14] Pueblo of Acoma  Cultural Preservation Efforts of Acoma</w:t>
      </w:r>
    </w:p>
    <w:p>
      <w:pPr>
        <w:keepNext/>
        <w:spacing w:line="250" w:lineRule="auto" w:after="40"/>
      </w:pPr>
      <w:r>
        <w:rPr>
          <w:sz w:val="21"/>
        </w:rPr>
        <w:t>Official tribal history of the 1997 language survey and the preservation programs established in 1999.</w:t>
      </w:r>
    </w:p>
    <w:p>
      <w:pPr>
        <w:spacing w:after="120" w:line="240" w:lineRule="auto"/>
      </w:pPr>
      <w:hyperlink r:id="rId22">
        <w:r>
          <w:rPr>
            <w:rFonts w:ascii="Calibri" w:hAnsi="Calibri"/>
            <w:sz w:val="20"/>
            <w:color w:val="000000"/>
            <w:u w:val="single"/>
          </w:rPr>
          <w:t>https://www.puebloofacoma.org/about-us/cultural-preservation/</w:t>
        </w:r>
      </w:hyperlink>
    </w:p>
    <w:p>
      <w:pPr>
        <w:keepNext/>
        <w:spacing w:before="140" w:after="60"/>
      </w:pPr>
      <w:r>
        <w:rPr>
          <w:rFonts w:ascii="Calibri" w:hAnsi="Calibri"/>
          <w:b/>
          <w:sz w:val="21"/>
        </w:rPr>
        <w:t>[15] Pueblo of Acoma  Acoma Language Program</w:t>
      </w:r>
    </w:p>
    <w:p>
      <w:pPr>
        <w:keepNext/>
        <w:spacing w:line="250" w:lineRule="auto" w:after="40"/>
      </w:pPr>
      <w:r>
        <w:rPr>
          <w:sz w:val="21"/>
        </w:rPr>
        <w:t>Primary account of language teaching and the dictionary project, including the exclusion of culturally sensitive vocabulary.</w:t>
      </w:r>
    </w:p>
    <w:p>
      <w:pPr>
        <w:spacing w:after="120" w:line="240" w:lineRule="auto"/>
      </w:pPr>
      <w:hyperlink r:id="rId23">
        <w:r>
          <w:rPr>
            <w:rFonts w:ascii="Calibri" w:hAnsi="Calibri"/>
            <w:sz w:val="20"/>
            <w:color w:val="000000"/>
            <w:u w:val="single"/>
          </w:rPr>
          <w:t>https://www.puebloofacoma.org/departments/department-of-education/language-program/</w:t>
        </w:r>
      </w:hyperlink>
    </w:p>
    <w:p>
      <w:pPr>
        <w:keepNext/>
        <w:spacing w:before="140" w:after="60"/>
      </w:pPr>
      <w:r>
        <w:rPr>
          <w:rFonts w:ascii="Calibri" w:hAnsi="Calibri"/>
          <w:b/>
          <w:sz w:val="21"/>
        </w:rPr>
        <w:t>[16] United States Department of Justice  Successful Recovery of Acoma Shield  2019</w:t>
      </w:r>
    </w:p>
    <w:p>
      <w:pPr>
        <w:keepNext/>
        <w:spacing w:line="250" w:lineRule="auto" w:after="40"/>
      </w:pPr>
      <w:r>
        <w:rPr>
          <w:sz w:val="21"/>
        </w:rPr>
        <w:t>Primary account of the forfeiture action, tribal identification and release of the shield from the French auction house.</w:t>
      </w:r>
    </w:p>
    <w:p>
      <w:pPr>
        <w:spacing w:after="120" w:line="240" w:lineRule="auto"/>
      </w:pPr>
      <w:hyperlink r:id="rId24">
        <w:r>
          <w:rPr>
            <w:rFonts w:ascii="Calibri" w:hAnsi="Calibri"/>
            <w:sz w:val="20"/>
            <w:color w:val="000000"/>
            <w:u w:val="single"/>
          </w:rPr>
          <w:t>https://www.justice.gov/usao-nm/pr/us-attorney-s-office-district-new-mexico-announces-successful-recovery-acoma-shield</w:t>
        </w:r>
      </w:hyperlink>
    </w:p>
    <w:p>
      <w:pPr>
        <w:keepNext/>
        <w:spacing w:before="140" w:after="60"/>
      </w:pPr>
      <w:r>
        <w:rPr>
          <w:rFonts w:ascii="Calibri" w:hAnsi="Calibri"/>
          <w:b/>
          <w:sz w:val="21"/>
        </w:rPr>
        <w:t>[17] University of California Davis School of Law  Michael Taylor Class of 69</w:t>
      </w:r>
    </w:p>
    <w:p>
      <w:pPr>
        <w:keepNext/>
        <w:spacing w:line="250" w:lineRule="auto" w:after="40"/>
      </w:pPr>
      <w:r>
        <w:rPr>
          <w:sz w:val="21"/>
        </w:rPr>
        <w:t>A lawyer’s later recollection of a marriage and property case heard in Acoma and outside courts.</w:t>
      </w:r>
    </w:p>
    <w:p>
      <w:pPr>
        <w:spacing w:after="120" w:line="240" w:lineRule="auto"/>
      </w:pPr>
      <w:hyperlink r:id="rId25">
        <w:r>
          <w:rPr>
            <w:rFonts w:ascii="Calibri" w:hAnsi="Calibri"/>
            <w:sz w:val="20"/>
            <w:color w:val="000000"/>
            <w:u w:val="single"/>
          </w:rPr>
          <w:t>https://law.ucdavis.edu/news/michael-taylor-class-69</w:t>
        </w:r>
      </w:hyperlink>
    </w:p>
    <w:p>
      <w:pPr>
        <w:keepNext/>
        <w:spacing w:before="140" w:after="60"/>
      </w:pPr>
      <w:r>
        <w:rPr>
          <w:rFonts w:ascii="Calibri" w:hAnsi="Calibri"/>
          <w:b/>
          <w:sz w:val="21"/>
        </w:rPr>
        <w:t>[18] Henry Warner Bowden  Spanish Missions Cultural Conflict and the Pueblo Revolt of 1680  1975</w:t>
      </w:r>
    </w:p>
    <w:p>
      <w:pPr>
        <w:keepNext/>
        <w:spacing w:line="250" w:lineRule="auto" w:after="40"/>
      </w:pPr>
      <w:r>
        <w:rPr>
          <w:sz w:val="21"/>
        </w:rPr>
        <w:t>Church History 44, pages 217 to 228. Public extract and references available; full article requires access.</w:t>
      </w:r>
    </w:p>
    <w:p>
      <w:pPr>
        <w:spacing w:after="120" w:line="240" w:lineRule="auto"/>
      </w:pPr>
      <w:hyperlink r:id="rId26">
        <w:r>
          <w:rPr>
            <w:rFonts w:ascii="Calibri" w:hAnsi="Calibri"/>
            <w:sz w:val="19"/>
            <w:color w:val="000000"/>
            <w:u w:val="single"/>
          </w:rPr>
          <w:t>https://www.cambridge.org/core/journals/church-history/article/abs/spanish-missions-cultural-conflict-and-the-pueblo-revolt-of-1680/5524E0B7EB6DFAEBB963CEE04675A6D7</w:t>
        </w:r>
      </w:hyperlink>
    </w:p>
    <w:sectPr w:rsidR="00FC693F" w:rsidRPr="0006063C" w:rsidSect="00034616">
      <w:footerReference w:type="default" r:id="rId27"/>
      <w:pgSz w:w="12240" w:h="15840"/>
      <w:pgMar w:top="1224" w:right="1368" w:bottom="1224" w:left="1368"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fldSimple w:instr="PAGE">
      <w:r>
        <w:rPr>
          <w:sz w:val="18"/>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Cambria" w:hAnsi="Cambria"/>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widowControl/>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60" w:line="240" w:lineRule="auto"/>
      <w:contextualSpacing/>
    </w:pPr>
    <w:rPr>
      <w:rFonts w:asciiTheme="majorHAnsi" w:eastAsiaTheme="majorEastAsia" w:hAnsiTheme="majorHAnsi" w:cstheme="majorBidi" w:ascii="Cambria" w:hAnsi="Cambria"/>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300"/>
    </w:pPr>
    <w:rPr>
      <w:rFonts w:asciiTheme="majorHAnsi" w:eastAsiaTheme="majorEastAsia" w:hAnsiTheme="majorHAnsi" w:cstheme="majorBidi" w:ascii="Cambria" w:hAnsi="Cambria"/>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puebloofacoma.org/about-us/" TargetMode="External"/><Relationship Id="rId10" Type="http://schemas.openxmlformats.org/officeDocument/2006/relationships/hyperlink" Target="https://mytext.cnm.edu/lesson/development-of-pueblo-society/" TargetMode="External"/><Relationship Id="rId11" Type="http://schemas.openxmlformats.org/officeDocument/2006/relationships/hyperlink" Target="https://www.wichita.edu/museums/holmes/southwest-pottery.php" TargetMode="External"/><Relationship Id="rId12" Type="http://schemas.openxmlformats.org/officeDocument/2006/relationships/hyperlink" Target="https://www.nps.gov/subjects/travelspanishmissions/san-estevan-del-rey-mission-church.htm" TargetMode="External"/><Relationship Id="rId13" Type="http://schemas.openxmlformats.org/officeDocument/2006/relationships/hyperlink" Target="https://www.puebloofacoma.org/about-us/archaeology-and-legend/" TargetMode="External"/><Relationship Id="rId14" Type="http://schemas.openxmlformats.org/officeDocument/2006/relationships/hyperlink" Target="https://www.nps.gov/elma/learn/historyculture/upload/ELMA_hist.pdf" TargetMode="External"/><Relationship Id="rId15" Type="http://schemas.openxmlformats.org/officeDocument/2006/relationships/hyperlink" Target="https://www.puebloofacoma.org/about-us/rebuilding-the-pueblo/" TargetMode="External"/><Relationship Id="rId16" Type="http://schemas.openxmlformats.org/officeDocument/2006/relationships/hyperlink" Target="https://www.puebloofacoma.org/about-us/modern-acoma/" TargetMode="External"/><Relationship Id="rId17" Type="http://schemas.openxmlformats.org/officeDocument/2006/relationships/hyperlink" Target="https://www.cambridge.org/core/journals/law-and-history-review/article/abs/acoma-v-laguna-and-the-transition-from-spanish-colonial-law-to-american-civil-procedure-in-new-mexico/D246524CEF1BFFBA83277FF9EA6F6DFD" TargetMode="External"/><Relationship Id="rId18" Type="http://schemas.openxmlformats.org/officeDocument/2006/relationships/hyperlink" Target="https://www.puebloofacoma.org/about-us/canes-of-power/" TargetMode="External"/><Relationship Id="rId19" Type="http://schemas.openxmlformats.org/officeDocument/2006/relationships/hyperlink" Target="https://www.puebloofacoma.org/wp-content/uploads/2021/01/Acoma-Landholdings_Final.pdf" TargetMode="External"/><Relationship Id="rId20" Type="http://schemas.openxmlformats.org/officeDocument/2006/relationships/hyperlink" Target="https://www.doi.gov/node/45271" TargetMode="External"/><Relationship Id="rId21" Type="http://schemas.openxmlformats.org/officeDocument/2006/relationships/hyperlink" Target="https://americanart.si.edu/artist/lucy-m-lewis-2919" TargetMode="External"/><Relationship Id="rId22" Type="http://schemas.openxmlformats.org/officeDocument/2006/relationships/hyperlink" Target="https://www.puebloofacoma.org/about-us/cultural-preservation/" TargetMode="External"/><Relationship Id="rId23" Type="http://schemas.openxmlformats.org/officeDocument/2006/relationships/hyperlink" Target="https://www.puebloofacoma.org/departments/department-of-education/language-program/" TargetMode="External"/><Relationship Id="rId24" Type="http://schemas.openxmlformats.org/officeDocument/2006/relationships/hyperlink" Target="https://www.justice.gov/usao-nm/pr/us-attorney-s-office-district-new-mexico-announces-successful-recovery-acoma-shield" TargetMode="External"/><Relationship Id="rId25" Type="http://schemas.openxmlformats.org/officeDocument/2006/relationships/hyperlink" Target="https://law.ucdavis.edu/news/michael-taylor-class-69" TargetMode="External"/><Relationship Id="rId26" Type="http://schemas.openxmlformats.org/officeDocument/2006/relationships/hyperlink" Target="https://www.cambridge.org/core/journals/church-history/article/abs/spanish-missions-cultural-conflict-and-the-pueblo-revolt-of-1680/5524E0B7EB6DFAEBB963CEE04675A6D7"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Acoma Pueblo History and Culture</dc:title>
  <dc:subject>A historical study of Acoma Pueblo with a chronology and institutional sources</dc:subject>
  <dc:creator/>
  <cp:keywords>Acoma Pueblo, Haaku, New Mexico, Keres, Pueblo Revolt</cp:keywords>
  <dc:description>generated by python-docx</dc:description>
  <cp:lastModifiedBy/>
  <cp:revision>1</cp:revision>
  <dcterms:created xsi:type="dcterms:W3CDTF">2013-12-23T23:15:00Z</dcterms:created>
  <dcterms:modified xsi:type="dcterms:W3CDTF">2013-12-23T23:15:00Z</dcterms:modified>
  <cp:category/>
</cp:coreProperties>
</file>