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Chinook Culture History and Timeline</w:t>
      </w:r>
    </w:p>
    <w:p>
      <w:pPr>
        <w:pStyle w:val="Subtitle"/>
      </w:pPr>
      <w:r>
        <w:t>The lower Columbia River peoples and the Chinook Indian Nation</w:t>
      </w:r>
    </w:p>
    <w:p>
      <w:r>
        <w:rPr>
          <w:sz w:val="18"/>
        </w:rPr>
        <w:t>Research checked 18 October 2026</w:t>
      </w:r>
    </w:p>
    <w:p>
      <w:r>
        <w:t>The Chinook are a living Indigenous people of the Pacific Northwest. Their history centers on the lower Columbia River, its estuary and the nearby Pacific coast. Fishing, canoe travel, cedar woodworking and trade connected their villages. This study explains that culture, follows the effects of foreign trade and American settlement and traces the continuing work of the Chinook Indian Nation. [1,2]</w:t>
      </w:r>
    </w:p>
    <w:p>
      <w:r>
        <w:t>Two related subjects appear throughout the study. Chinookan peoples are the broader group of communities linked by related languages along the Columbia. The present Chinook Indian Nation represents five westernmost Chinookan communities near the river’s mouth. Keeping that difference clear prevents the history of one nation from being confused with the history of every Chinookan people. [1]</w:t>
      </w:r>
    </w:p>
    <w:p>
      <w:pPr>
        <w:pStyle w:val="Heading1"/>
      </w:pPr>
      <w:r>
        <w:t>Homeland and identity</w:t>
      </w:r>
    </w:p>
    <w:p>
      <w:r>
        <w:t>The Nation identifies its core territory along the lower river from near Oak Point, west of present Longview, to the Pacific, together with neighboring coastal lands. Its five constituent peoples are listed below. The Oregon–Washington border is a later political boundary across a much older network of relationships. [1]</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376"/>
        <w:gridCol w:w="7502"/>
      </w:tblGrid>
      <w:tr>
        <w:trPr>
          <w:cantSplit/>
          <w:tblHeader/>
        </w:trPr>
        <w:tc>
          <w:tcPr>
            <w:tcW w:type="dxa" w:w="2376"/>
            <w:vAlign w:val="center"/>
            <w:tcMar>
              <w:top w:w="85" w:type="dxa"/>
              <w:bottom w:w="85" w:type="dxa"/>
              <w:left w:w="100" w:type="dxa"/>
              <w:right w:w="100" w:type="dxa"/>
            </w:tcMar>
            <w:shd w:fill="E4EAF0"/>
          </w:tcPr>
          <w:p>
            <w:pPr>
              <w:spacing w:after="0" w:line="252" w:lineRule="auto"/>
              <w:jc w:val="center"/>
            </w:pPr>
            <w:r>
              <w:rPr>
                <w:b/>
                <w:sz w:val="21"/>
              </w:rPr>
              <w:t>Constituent people</w:t>
            </w:r>
          </w:p>
        </w:tc>
        <w:tc>
          <w:tcPr>
            <w:tcW w:type="dxa" w:w="7502"/>
            <w:vAlign w:val="center"/>
            <w:tcMar>
              <w:top w:w="85" w:type="dxa"/>
              <w:bottom w:w="85" w:type="dxa"/>
              <w:left w:w="100" w:type="dxa"/>
              <w:right w:w="100" w:type="dxa"/>
            </w:tcMar>
            <w:shd w:fill="E4EAF0"/>
          </w:tcPr>
          <w:p>
            <w:pPr>
              <w:spacing w:after="0" w:line="252" w:lineRule="auto"/>
            </w:pPr>
            <w:r>
              <w:rPr>
                <w:b/>
                <w:sz w:val="21"/>
              </w:rPr>
              <w:t>Ancestral area in present day terms</w:t>
            </w:r>
          </w:p>
        </w:tc>
      </w:tr>
      <w:tr>
        <w:trPr>
          <w:cantSplit/>
        </w:trPr>
        <w:tc>
          <w:tcPr>
            <w:tcW w:type="dxa" w:w="2376"/>
            <w:vAlign w:val="center"/>
            <w:tcMar>
              <w:top w:w="85" w:type="dxa"/>
              <w:bottom w:w="85" w:type="dxa"/>
              <w:left w:w="100" w:type="dxa"/>
              <w:right w:w="100" w:type="dxa"/>
            </w:tcMar>
          </w:tcPr>
          <w:p>
            <w:pPr>
              <w:spacing w:after="0" w:line="252" w:lineRule="auto"/>
              <w:jc w:val="center"/>
            </w:pPr>
            <w:r>
              <w:rPr>
                <w:b w:val="0"/>
                <w:sz w:val="21"/>
              </w:rPr>
              <w:t>Lower Chinook</w:t>
            </w:r>
          </w:p>
        </w:tc>
        <w:tc>
          <w:tcPr>
            <w:tcW w:type="dxa" w:w="7502"/>
            <w:vAlign w:val="center"/>
            <w:tcMar>
              <w:top w:w="85" w:type="dxa"/>
              <w:bottom w:w="85" w:type="dxa"/>
              <w:left w:w="100" w:type="dxa"/>
              <w:right w:w="100" w:type="dxa"/>
            </w:tcMar>
          </w:tcPr>
          <w:p>
            <w:pPr>
              <w:spacing w:after="0" w:line="252" w:lineRule="auto"/>
            </w:pPr>
            <w:r>
              <w:rPr>
                <w:b w:val="0"/>
                <w:sz w:val="21"/>
              </w:rPr>
              <w:t>Washington side of the Columbia River mouth</w:t>
            </w:r>
          </w:p>
        </w:tc>
      </w:tr>
      <w:tr>
        <w:trPr>
          <w:cantSplit/>
        </w:trPr>
        <w:tc>
          <w:tcPr>
            <w:tcW w:type="dxa" w:w="2376"/>
            <w:vAlign w:val="center"/>
            <w:tcMar>
              <w:top w:w="85" w:type="dxa"/>
              <w:bottom w:w="85" w:type="dxa"/>
              <w:left w:w="100" w:type="dxa"/>
              <w:right w:w="100" w:type="dxa"/>
            </w:tcMar>
          </w:tcPr>
          <w:p>
            <w:pPr>
              <w:spacing w:after="0" w:line="252" w:lineRule="auto"/>
              <w:jc w:val="center"/>
            </w:pPr>
            <w:r>
              <w:rPr>
                <w:b w:val="0"/>
                <w:sz w:val="21"/>
              </w:rPr>
              <w:t>Clatsop</w:t>
            </w:r>
          </w:p>
        </w:tc>
        <w:tc>
          <w:tcPr>
            <w:tcW w:type="dxa" w:w="7502"/>
            <w:vAlign w:val="center"/>
            <w:tcMar>
              <w:top w:w="85" w:type="dxa"/>
              <w:bottom w:w="85" w:type="dxa"/>
              <w:left w:w="100" w:type="dxa"/>
              <w:right w:w="100" w:type="dxa"/>
            </w:tcMar>
          </w:tcPr>
          <w:p>
            <w:pPr>
              <w:spacing w:after="0" w:line="252" w:lineRule="auto"/>
            </w:pPr>
            <w:r>
              <w:rPr>
                <w:b w:val="0"/>
                <w:sz w:val="21"/>
              </w:rPr>
              <w:t>Oregon side of the river mouth and adjacent coast</w:t>
            </w:r>
          </w:p>
        </w:tc>
      </w:tr>
      <w:tr>
        <w:trPr>
          <w:cantSplit/>
        </w:trPr>
        <w:tc>
          <w:tcPr>
            <w:tcW w:type="dxa" w:w="2376"/>
            <w:vAlign w:val="center"/>
            <w:tcMar>
              <w:top w:w="85" w:type="dxa"/>
              <w:bottom w:w="85" w:type="dxa"/>
              <w:left w:w="100" w:type="dxa"/>
              <w:right w:w="100" w:type="dxa"/>
            </w:tcMar>
          </w:tcPr>
          <w:p>
            <w:pPr>
              <w:spacing w:after="0" w:line="252" w:lineRule="auto"/>
              <w:jc w:val="center"/>
            </w:pPr>
            <w:r>
              <w:rPr>
                <w:b w:val="0"/>
                <w:sz w:val="21"/>
              </w:rPr>
              <w:t>Cathlamet or Kathlamet</w:t>
            </w:r>
          </w:p>
        </w:tc>
        <w:tc>
          <w:tcPr>
            <w:tcW w:type="dxa" w:w="7502"/>
            <w:vAlign w:val="center"/>
            <w:tcMar>
              <w:top w:w="85" w:type="dxa"/>
              <w:bottom w:w="85" w:type="dxa"/>
              <w:left w:w="100" w:type="dxa"/>
              <w:right w:w="100" w:type="dxa"/>
            </w:tcMar>
          </w:tcPr>
          <w:p>
            <w:pPr>
              <w:spacing w:after="0" w:line="252" w:lineRule="auto"/>
            </w:pPr>
            <w:r>
              <w:rPr>
                <w:b w:val="0"/>
                <w:sz w:val="21"/>
              </w:rPr>
              <w:t>Lower Columbia River in present Oregon</w:t>
            </w:r>
          </w:p>
        </w:tc>
      </w:tr>
      <w:tr>
        <w:trPr>
          <w:cantSplit/>
        </w:trPr>
        <w:tc>
          <w:tcPr>
            <w:tcW w:type="dxa" w:w="2376"/>
            <w:vAlign w:val="center"/>
            <w:tcMar>
              <w:top w:w="85" w:type="dxa"/>
              <w:bottom w:w="85" w:type="dxa"/>
              <w:left w:w="100" w:type="dxa"/>
              <w:right w:w="100" w:type="dxa"/>
            </w:tcMar>
          </w:tcPr>
          <w:p>
            <w:pPr>
              <w:spacing w:after="0" w:line="252" w:lineRule="auto"/>
              <w:jc w:val="center"/>
            </w:pPr>
            <w:r>
              <w:rPr>
                <w:b w:val="0"/>
                <w:sz w:val="21"/>
              </w:rPr>
              <w:t>Wahkiakum</w:t>
            </w:r>
          </w:p>
        </w:tc>
        <w:tc>
          <w:tcPr>
            <w:tcW w:type="dxa" w:w="7502"/>
            <w:vAlign w:val="center"/>
            <w:tcMar>
              <w:top w:w="85" w:type="dxa"/>
              <w:bottom w:w="85" w:type="dxa"/>
              <w:left w:w="100" w:type="dxa"/>
              <w:right w:w="100" w:type="dxa"/>
            </w:tcMar>
          </w:tcPr>
          <w:p>
            <w:pPr>
              <w:spacing w:after="0" w:line="252" w:lineRule="auto"/>
            </w:pPr>
            <w:r>
              <w:rPr>
                <w:b w:val="0"/>
                <w:sz w:val="21"/>
              </w:rPr>
              <w:t>Lower Columbia River in present Washington</w:t>
            </w:r>
          </w:p>
        </w:tc>
      </w:tr>
      <w:tr>
        <w:trPr>
          <w:cantSplit/>
        </w:trPr>
        <w:tc>
          <w:tcPr>
            <w:tcW w:type="dxa" w:w="2376"/>
            <w:vAlign w:val="center"/>
            <w:tcMar>
              <w:top w:w="85" w:type="dxa"/>
              <w:bottom w:w="85" w:type="dxa"/>
              <w:left w:w="100" w:type="dxa"/>
              <w:right w:w="100" w:type="dxa"/>
            </w:tcMar>
          </w:tcPr>
          <w:p>
            <w:pPr>
              <w:spacing w:after="0" w:line="252" w:lineRule="auto"/>
              <w:jc w:val="center"/>
            </w:pPr>
            <w:r>
              <w:rPr>
                <w:b w:val="0"/>
                <w:sz w:val="21"/>
              </w:rPr>
              <w:t>Willapa</w:t>
            </w:r>
          </w:p>
        </w:tc>
        <w:tc>
          <w:tcPr>
            <w:tcW w:type="dxa" w:w="7502"/>
            <w:vAlign w:val="center"/>
            <w:tcMar>
              <w:top w:w="85" w:type="dxa"/>
              <w:bottom w:w="85" w:type="dxa"/>
              <w:left w:w="100" w:type="dxa"/>
              <w:right w:w="100" w:type="dxa"/>
            </w:tcMar>
          </w:tcPr>
          <w:p>
            <w:pPr>
              <w:spacing w:after="0" w:line="252" w:lineRule="auto"/>
            </w:pPr>
            <w:r>
              <w:rPr>
                <w:b w:val="0"/>
                <w:sz w:val="21"/>
              </w:rPr>
              <w:t>Willapa Bay and neighboring coastal Washington</w:t>
            </w:r>
          </w:p>
        </w:tc>
      </w:tr>
    </w:tbl>
    <w:p>
      <w:pPr>
        <w:spacing w:after="0"/>
      </w:pPr>
    </w:p>
    <w:p>
      <w:r>
        <w:t>Farther upriver, other Chinookan communities lived through the Portland Basin and Columbia Gorge toward The Dalles. Scholars reconstruct a landscape of many named villages rather than one centrally governed nation. A modern village study identifies more than eighty villages and larger groupings between Astoria and Cascade Locks, with an estimated population of at least 15,000 in the early nineteenth century. Those figures describe the wider region, not the five communities alone. [2]</w:t>
      </w:r>
    </w:p>
    <w:p>
      <w:pPr>
        <w:pStyle w:val="Heading1"/>
      </w:pPr>
      <w:r>
        <w:t>Culture and daily life</w:t>
      </w:r>
    </w:p>
    <w:p>
      <w:pPr>
        <w:pStyle w:val="Heading2"/>
      </w:pPr>
      <w:r>
        <w:t>Fishing and seasonal food</w:t>
      </w:r>
    </w:p>
    <w:p>
      <w:r>
        <w:t>Salmon runs helped organize the year. Chinook fishers also caught sturgeon, steelhead, eulachon and herring. They used nets, hooks, harpoons and other tools suited to particular waters and fish. Fish could be eaten fresh or smoke dried for later meals and exchange. Clams from Willapa Bay and other coastal foods broadened the diet. [4]</w:t>
      </w:r>
    </w:p>
    <w:p>
      <w:r>
        <w:t>Roots, berries, wild game and birds also supplied food. Wapato, an edible wetland tuber, moved through river trade. Families used established villages together with seasonal locations that gave access to changing supplies. Food storage made it possible to live in substantial settlements through the wet winter. The economy depended on detailed knowledge of local waters, plants and animal behavior. [15,23]</w:t>
      </w:r>
    </w:p>
    <w:p>
      <w:pPr>
        <w:pStyle w:val="Heading2"/>
      </w:pPr>
      <w:r>
        <w:t>Cedar houses and household life</w:t>
      </w:r>
    </w:p>
    <w:p>
      <w:r>
        <w:t>The best known Chinookan homes were plankhouses built with cedar posts, beams and split boards. Several related families could share a large house. Hearths provided heat and cooking space, while raised platforms along the walls served for sleeping and storage. A house also supported food processing, craft work and ceremonies. [3]</w:t>
      </w:r>
    </w:p>
    <w:p>
      <w:r>
        <w:t>House sizes and arrangements varied. Some households moved boards between seasonal house frames, which sometimes led visiting outsiders to mistake a temporarily unused settlement for an abandoned one. Archaeological examples from the lower Columbia show that recognizable plankhouse traditions extend back roughly 2,000 years or more. This evidence supports long cultural continuity without assigning a precise founding date to the modern Nation. [3]</w:t>
      </w:r>
    </w:p>
    <w:p>
      <w:pPr>
        <w:pStyle w:val="Heading2"/>
      </w:pPr>
      <w:r>
        <w:t>Canoes and river knowledge</w:t>
      </w:r>
    </w:p>
    <w:p>
      <w:r>
        <w:t>Cedar canoes carried people, food and trade goods through rivers, bays and coastal waters. Builders shaped vessels for different conditions and decorated some with carved or painted animal designs. Large examples could carry twenty to thirty people and cargo. Successful travel required knowledge of tides, currents, weather and the dangerous Columbia River mouth. [5]</w:t>
      </w:r>
    </w:p>
    <w:p>
      <w:r>
        <w:t>In 1806, Meriwether Lewis admired how safely local people handled waves that frightened him. His account is evidence of Chinookan skill, although it remains an outsider’s description. Canoes were valuable products of trained labor and inherited knowledge. They also remain part of Chinook community life through the Canoe Family and cultural gatherings. [5,21]</w:t>
      </w:r>
    </w:p>
    <w:p>
      <w:pPr>
        <w:pStyle w:val="Heading2"/>
      </w:pPr>
      <w:r>
        <w:t>Clothing weaving and art</w:t>
      </w:r>
    </w:p>
    <w:p>
      <w:r>
        <w:t>Clothing suited the damp climate. Cedar bark, beargrass and animal skins were used for garments and headwear. Visitors admired water resistant hats and sea otter robes. Some Chinook people also wore clothing acquired from foreign sailors, showing how readily new goods could enter existing ways of life. [6]</w:t>
      </w:r>
    </w:p>
    <w:p>
      <w:r>
        <w:t>Women’s basketry and textiles served household needs and produced income. Women owned property and could retain earnings from their work. Basket sales continued into markets involving settlers, tourists and collectors. Many museums preserved the objects while failing to record their makers’ names, leaving a serious gap in the historical record. [8]</w:t>
      </w:r>
    </w:p>
    <w:p>
      <w:r>
        <w:t>Contemporary Chinookan artists continue and renew local carving traditions. The Nation documents work by Tony A. Johnson, including carved kingfishers and a house post design. Such work places Chinookan visual culture in present public spaces as well as in museums and historic collections. [24]</w:t>
      </w:r>
    </w:p>
    <w:p>
      <w:pPr>
        <w:pStyle w:val="Heading2"/>
      </w:pPr>
      <w:r>
        <w:t>Families leadership and social rank</w:t>
      </w:r>
    </w:p>
    <w:p>
      <w:r>
        <w:t>The village and extended household were central to political life. Leaders drew authority from inherited rights, family connections, ability and the respect of others. Important decisions could involve more than one leader. Early foreign visitors often used the word chief too broadly, making local authority appear more centralized than it was. [2,7]</w:t>
      </w:r>
    </w:p>
    <w:p>
      <w:r>
        <w:t>Women could hold leadership positions, and rights could pass through either parent. At the same time, historical Chinook society had clear inequalities. High status families, commoners and enslaved people occupied different positions. A careful account must include both women’s authority and the existence of slavery. Neither a uniformly equal society nor a single all powerful chief describes the evidence well. [7,8]</w:t>
      </w:r>
    </w:p>
    <w:p>
      <w:pPr>
        <w:pStyle w:val="Heading2"/>
      </w:pPr>
      <w:r>
        <w:t>Language and communication</w:t>
      </w:r>
    </w:p>
    <w:p>
      <w:r>
        <w:t>The original Chinookan languages and Chinuk Wawa are different. Chinuk Wawa, often called Chinook Jargon in older writing, became a shared language used among people who did not have the same first language. Its vocabulary drew on Chinookan and other Indigenous languages as well as French and English. It spread widely through the fur trade. [9]</w:t>
      </w:r>
    </w:p>
    <w:p>
      <w:r>
        <w:t>Scholars disagree about exactly when and how Chinuk Wawa formed. It should not simply be called a language invented by white traders. Linguist Henry Zenk emphasizes the major role Chinookan speakers played in its formation. Today, language teaching and renewal continue in several Native communities, notably Grand Ronde. Those efforts belong to distinct communities within a shared regional language history. [9]</w:t>
      </w:r>
    </w:p>
    <w:p>
      <w:pPr>
        <w:pStyle w:val="Heading2"/>
      </w:pPr>
      <w:r>
        <w:t>Ceremony and relationships with the living world</w:t>
      </w:r>
    </w:p>
    <w:p>
      <w:r>
        <w:t>The First Salmon Ceremony publicly expresses the importance of salmon beyond food or trade. The Chinook Indian Nation describes honoring the first fish, preparing it over an alder fire and returning its bones to the Columbia. Children take part and learn from experienced cooks and community leaders. The ceremony connects respect for salmon with hopes for their continued return. [10]</w:t>
      </w:r>
    </w:p>
    <w:p>
      <w:r>
        <w:t>Historical accounts also describe guardian spirit songs, dancing, feasts and the giving of gifts. Anthropologist Verne Ray warned that the word potlatch can hide differences between Lower Chinook practices and ceremonies farther north. It is safer to describe the particular gathering than to assume that all Northwest Coast peoples followed one identical system. [11]</w:t>
      </w:r>
    </w:p>
    <w:p>
      <w:r>
        <w:t>Charles Cultee, a Chinook knowledge keeper at Bay Center, supplied Franz Boas with extensive language and cultural material in the early 1890s. Their work produced Chinook Texts and Kathlamet Texts. These records preserve important knowledge, but they also passed through an outside collector’s questions, transcription and translation. Cultee’s contribution deserves attention alongside Boas’s published name. [12]</w:t>
      </w:r>
    </w:p>
    <w:p>
      <w:pPr>
        <w:pStyle w:val="Heading1"/>
      </w:pPr>
      <w:r>
        <w:t>History and major turning points</w:t>
      </w:r>
    </w:p>
    <w:p>
      <w:pPr>
        <w:pStyle w:val="Heading2"/>
      </w:pPr>
      <w:r>
        <w:t>A river economy before foreign settlement</w:t>
      </w:r>
    </w:p>
    <w:p>
      <w:r>
        <w:t>Chinookan communities had established villages, fisheries and exchange networks long before foreign ships entered the Columbia. People near the river mouth occupied a useful position between inland communities and coastal traffic. Trade helped connect local households to goods and relationships well beyond their own villages. Geography mattered because the river linked otherwise distant places. [2,23]</w:t>
      </w:r>
    </w:p>
    <w:p>
      <w:pPr>
        <w:pStyle w:val="Heading2"/>
      </w:pPr>
      <w:r>
        <w:t>Maritime trade and powerful negotiators</w:t>
      </w:r>
    </w:p>
    <w:p>
      <w:r>
        <w:t>Robert Gray entered the Columbia in 1792, helping open a period of expanding maritime fur trading. Foreign merchants entered an existing Native trading world. Chinook leaders negotiated prices, directed access to goods and built alliances with newcomers. The arrival of imported objects did not immediately erase local control over exchange. [13,22]</w:t>
      </w:r>
    </w:p>
    <w:p>
      <w:r>
        <w:t>Concomly, also often spelled Comcomly, became the best known Lower Chinook headman of this era. Born around 1765, he increased his influence through trade and family alliances. After Fort Astoria was established in 1811, he worked to channel exchanges through his own network. His position changed as the Hudson’s Bay Company shifted its center to Fort Vancouver in 1825. He died during the malaria epidemic in 1830. His influence should not be confused with rule over every Chinookan community. [13]</w:t>
      </w:r>
    </w:p>
    <w:p>
      <w:pPr>
        <w:pStyle w:val="Heading2"/>
      </w:pPr>
      <w:r>
        <w:t>Lewis and Clark in Chinook country</w:t>
      </w:r>
    </w:p>
    <w:p>
      <w:r>
        <w:t>The expedition spent the winter of 1805–1806 at Fort Clatsop in Clatsop territory. Coboway, a Clatsop village leader, gave permission for the winter house and maintained contact with the visitors. Local people traded food, clothing and other supplies with the expedition. The relationship involved repeated negotiation and practical help. [15]</w:t>
      </w:r>
    </w:p>
    <w:p>
      <w:r>
        <w:t>It also included a serious breach of trust. On 18 March 1806, John Ordway recorded that expedition members took a Clatsop canoe and concealed it while the local chief was visiting. The university edition identifies this as theft. This incident is a useful reminder that the journals record the visitors’ actions and priorities, rather than a neutral account of an equal friendship. [16]</w:t>
      </w:r>
    </w:p>
    <w:p>
      <w:pPr>
        <w:pStyle w:val="Heading2"/>
      </w:pPr>
      <w:r>
        <w:t>Epidemics and loss</w:t>
      </w:r>
    </w:p>
    <w:p>
      <w:r>
        <w:t>Introduced infections caused catastrophic losses. Robert Boyd dates the earliest documented Oregon smallpox epidemic most likely to about 1781, while noting uncertainty. Malaria outbreaks began in 1830 and were especially destructive through 1834. A further smallpox epidemic struck lower Columbia communities in 1853. [14]</w:t>
      </w:r>
    </w:p>
    <w:p>
      <w:r>
        <w:t>These deaths removed relatives, leaders and specialists who carried essential knowledge. Survivors combined households and sometimes left villages. Losses also weakened communities as settler pressure increased. Precise totals remain uncertain, and very high estimates for the Portland Basin should not be treated as an exact count for every community at the river mouth. [14]</w:t>
      </w:r>
    </w:p>
    <w:p>
      <w:pPr>
        <w:pStyle w:val="Heading2"/>
      </w:pPr>
      <w:r>
        <w:t>Treaties settlement and refusal to leave</w:t>
      </w:r>
    </w:p>
    <w:p>
      <w:r>
        <w:t>In August 1851, Anson Dart negotiated the Tansy Point treaties with Chinook and neighboring peoples. Chinook leaders pressed to remain near their homes and ancestors. The agreements included provisions for staying within their homelands, but the Senate did not ratify them. Settler occupation continued without fulfillment of the promises made at the negotiations. [17,25]</w:t>
      </w:r>
    </w:p>
    <w:p>
      <w:r>
        <w:t>At the Chehalis River negotiations in 1855, Governor Isaac Stevens sought relocation away from Chinook homelands. Chinook representatives refused to agree. James Swan’s account records the importance of family burial places and the danger leaders associated with being moved among other peoples. This was a specific refusal of removal, not a refusal of all negotiation with the United States. [26]</w:t>
      </w:r>
    </w:p>
    <w:p>
      <w:pPr>
        <w:pStyle w:val="Heading2"/>
      </w:pPr>
      <w:r>
        <w:t>Community survival through the twentieth century</w:t>
      </w:r>
    </w:p>
    <w:p>
      <w:r>
        <w:t>Some Chinook descendants lived on reservations or became citizens of other tribal nations. Others maintained connections in the lower Columbia and Willapa Bay communities. The Chinook Indian Nation and the larger population of people with Chinookan ancestry therefore overlap without being identical. [19]</w:t>
      </w:r>
    </w:p>
    <w:p>
      <w:r>
        <w:t>Chinook children attended federal Indian boarding schools, including Chemawa and Cushman. Community members also pursued land claims, maintained enrollment records and developed written forms of government. These efforts show families adapting their organization while working to protect relationships, land interests and cultural knowledge. [22]</w:t>
      </w:r>
    </w:p>
    <w:p>
      <w:r>
        <w:t>Modern scholars and tribal researchers use archaeology, family testimony, government rolls and written records together. Each supplies a different part of the picture. A village site can show how a household worked, while oral history can explain connections to place that a census or traveler’s journal may miss. [2,17,22]</w:t>
      </w:r>
    </w:p>
    <w:p>
      <w:pPr>
        <w:pStyle w:val="Heading1"/>
      </w:pPr>
      <w:r>
        <w:t>Federal recognition and the Nation today</w:t>
      </w:r>
    </w:p>
    <w:p>
      <w:r>
        <w:t>In January 2001, Assistant Secretary Kevin Gover signed a favorable final determination acknowledging the Chinook Indian Tribe or Chinook Nation. The decision relied on historical records, interviews and an interpretation of earlier congressional actions. It followed a recognition effort for which the Nation had notified the Bureau of Indian Affairs of its intent to petition in 1979. [18]</w:t>
      </w:r>
    </w:p>
    <w:p>
      <w:r>
        <w:t>In 2002, the Interior Department reversed that determination after reconsideration. The department disputed how the earlier decision had interpreted evidence of community, political authority and prior government acknowledgment. The Chinook contest that outcome. The disagreement concerns the federal acknowledgment requirements and how historical evidence is evaluated. [19]</w:t>
      </w:r>
    </w:p>
    <w:p>
      <w:r>
        <w:t>As of this study, the Chinook Indian Nation is not on the federal list of recognized tribes. The January 2026 list confirms that federal position. This legal status does not mean Chinook people disappeared. Their government, gatherings, family networks and cultural programs continue. Recognition matters because it establishes a formal federal relationship tied to services, funding and protections. [20,21]</w:t>
      </w:r>
    </w:p>
    <w:p>
      <w:r>
        <w:t>The Nation’s Culture Committee organizes the First Salmon Ceremony, Winter Gathering, Story Gathering and Tansy Point Treaty Days. Drummers, singers, dancers and the Canoe Family help carry these practices forward. Art and language work make cultural renewal part of present community life. [21,24]</w:t>
      </w:r>
    </w:p>
    <w:p>
      <w:r>
        <w:t>Reconnection with land also continues. Chinook scholar Rachel Lynne Cushman dates the closing of the Nation’s purchase of ten acres of treaty grounds at Tansy Point to 8 April 2019. In her 2026 account, she describes habitat restoration planning and hopes for a cultural center. That work joins care for the river landscape with remembrance of the 1851 negotiations. [17]</w:t>
      </w:r>
    </w:p>
    <w:p>
      <w:r>
        <w:br w:type="page"/>
      </w:r>
    </w:p>
    <w:p>
      <w:pPr>
        <w:pStyle w:val="Heading1"/>
      </w:pPr>
      <w:r>
        <w:t>Timeline</w:t>
      </w:r>
    </w:p>
    <w:p>
      <w:r>
        <w:t>Dates before the nineteenth century are sometimes approximate. Events concerning the wider Chinookan region are identified where necessary. The source numbers refer to the list that follows.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613"/>
        <w:gridCol w:w="8266"/>
      </w:tblGrid>
      <w:tr>
        <w:trPr>
          <w:cantSplit/>
          <w:tblHeader/>
        </w:trPr>
        <w:tc>
          <w:tcPr>
            <w:tcW w:type="dxa" w:w="1613"/>
            <w:vAlign w:val="center"/>
            <w:tcMar>
              <w:top w:w="50" w:type="dxa"/>
              <w:bottom w:w="50" w:type="dxa"/>
              <w:left w:w="100" w:type="dxa"/>
              <w:right w:w="100" w:type="dxa"/>
            </w:tcMar>
            <w:shd w:fill="E4EAF0"/>
          </w:tcPr>
          <w:p>
            <w:pPr>
              <w:spacing w:after="0" w:line="252" w:lineRule="auto"/>
              <w:jc w:val="center"/>
            </w:pPr>
            <w:r>
              <w:rPr>
                <w:b/>
                <w:sz w:val="21"/>
              </w:rPr>
              <w:t>Date</w:t>
            </w:r>
          </w:p>
        </w:tc>
        <w:tc>
          <w:tcPr>
            <w:tcW w:type="dxa" w:w="8266"/>
            <w:vAlign w:val="center"/>
            <w:tcMar>
              <w:top w:w="50" w:type="dxa"/>
              <w:bottom w:w="50" w:type="dxa"/>
              <w:left w:w="100" w:type="dxa"/>
              <w:right w:w="100" w:type="dxa"/>
            </w:tcMar>
            <w:shd w:fill="E4EAF0"/>
          </w:tcPr>
          <w:p>
            <w:pPr>
              <w:spacing w:after="0" w:line="252" w:lineRule="auto"/>
            </w:pPr>
            <w:r>
              <w:rPr>
                <w:b/>
                <w:sz w:val="21"/>
              </w:rPr>
              <w:t>Event</w:t>
            </w:r>
          </w:p>
        </w:tc>
      </w:tr>
      <w:tr>
        <w:trPr>
          <w:cantSplit/>
        </w:trPr>
        <w:tc>
          <w:tcPr>
            <w:tcW w:type="dxa" w:w="1613"/>
            <w:vAlign w:val="center"/>
            <w:tcMar>
              <w:top w:w="50" w:type="dxa"/>
              <w:bottom w:w="50" w:type="dxa"/>
              <w:left w:w="100" w:type="dxa"/>
              <w:right w:w="100" w:type="dxa"/>
            </w:tcMar>
          </w:tcPr>
          <w:p>
            <w:pPr>
              <w:spacing w:after="0" w:line="252" w:lineRule="auto"/>
              <w:jc w:val="center"/>
            </w:pPr>
            <w:r>
              <w:rPr>
                <w:b w:val="0"/>
                <w:sz w:val="21"/>
              </w:rPr>
              <w:t>Before 1792</w:t>
            </w:r>
          </w:p>
        </w:tc>
        <w:tc>
          <w:tcPr>
            <w:tcW w:type="dxa" w:w="8266"/>
            <w:vAlign w:val="center"/>
            <w:tcMar>
              <w:top w:w="50" w:type="dxa"/>
              <w:bottom w:w="50" w:type="dxa"/>
              <w:left w:w="100" w:type="dxa"/>
              <w:right w:w="100" w:type="dxa"/>
            </w:tcMar>
          </w:tcPr>
          <w:p>
            <w:pPr>
              <w:spacing w:after="0" w:line="252" w:lineRule="auto"/>
            </w:pPr>
            <w:r>
              <w:rPr>
                <w:b w:val="0"/>
                <w:sz w:val="21"/>
              </w:rPr>
              <w:t>Chinookan villages and trade networks develop over many generations along the Columbia. Lower Columbia plankhouse archaeology documents traditions at least about 2,000 years old. [2,3]</w:t>
            </w:r>
          </w:p>
        </w:tc>
      </w:tr>
      <w:tr>
        <w:trPr>
          <w:cantSplit/>
        </w:trPr>
        <w:tc>
          <w:tcPr>
            <w:tcW w:type="dxa" w:w="1613"/>
            <w:vAlign w:val="center"/>
            <w:tcMar>
              <w:top w:w="50" w:type="dxa"/>
              <w:bottom w:w="50" w:type="dxa"/>
              <w:left w:w="100" w:type="dxa"/>
              <w:right w:w="100" w:type="dxa"/>
            </w:tcMar>
          </w:tcPr>
          <w:p>
            <w:pPr>
              <w:spacing w:after="0" w:line="252" w:lineRule="auto"/>
              <w:jc w:val="center"/>
            </w:pPr>
            <w:r>
              <w:rPr>
                <w:b w:val="0"/>
                <w:sz w:val="21"/>
              </w:rPr>
              <w:t>About 1781</w:t>
            </w:r>
          </w:p>
        </w:tc>
        <w:tc>
          <w:tcPr>
            <w:tcW w:type="dxa" w:w="8266"/>
            <w:vAlign w:val="center"/>
            <w:tcMar>
              <w:top w:w="50" w:type="dxa"/>
              <w:bottom w:w="50" w:type="dxa"/>
              <w:left w:w="100" w:type="dxa"/>
              <w:right w:w="100" w:type="dxa"/>
            </w:tcMar>
          </w:tcPr>
          <w:p>
            <w:pPr>
              <w:spacing w:after="0" w:line="252" w:lineRule="auto"/>
            </w:pPr>
            <w:r>
              <w:rPr>
                <w:b w:val="0"/>
                <w:sz w:val="21"/>
              </w:rPr>
              <w:t>The earliest documented Oregon smallpox epidemic occurs, probably around this year. The exact timing remains uncertain. [14]</w:t>
            </w:r>
          </w:p>
        </w:tc>
      </w:tr>
      <w:tr>
        <w:trPr>
          <w:cantSplit/>
        </w:trPr>
        <w:tc>
          <w:tcPr>
            <w:tcW w:type="dxa" w:w="1613"/>
            <w:vAlign w:val="center"/>
            <w:tcMar>
              <w:top w:w="50" w:type="dxa"/>
              <w:bottom w:w="50" w:type="dxa"/>
              <w:left w:w="100" w:type="dxa"/>
              <w:right w:w="100" w:type="dxa"/>
            </w:tcMar>
          </w:tcPr>
          <w:p>
            <w:pPr>
              <w:spacing w:after="0" w:line="252" w:lineRule="auto"/>
              <w:jc w:val="center"/>
            </w:pPr>
            <w:r>
              <w:rPr>
                <w:b w:val="0"/>
                <w:sz w:val="21"/>
              </w:rPr>
              <w:t>1792</w:t>
            </w:r>
          </w:p>
        </w:tc>
        <w:tc>
          <w:tcPr>
            <w:tcW w:type="dxa" w:w="8266"/>
            <w:vAlign w:val="center"/>
            <w:tcMar>
              <w:top w:w="50" w:type="dxa"/>
              <w:bottom w:w="50" w:type="dxa"/>
              <w:left w:w="100" w:type="dxa"/>
              <w:right w:w="100" w:type="dxa"/>
            </w:tcMar>
          </w:tcPr>
          <w:p>
            <w:pPr>
              <w:spacing w:after="0" w:line="252" w:lineRule="auto"/>
            </w:pPr>
            <w:r>
              <w:rPr>
                <w:b w:val="0"/>
                <w:sz w:val="21"/>
              </w:rPr>
              <w:t>Robert Gray enters the Columbia. Maritime fur trading expands contact with communities near the river mouth. [22]</w:t>
            </w:r>
          </w:p>
        </w:tc>
      </w:tr>
      <w:tr>
        <w:trPr>
          <w:cantSplit/>
        </w:trPr>
        <w:tc>
          <w:tcPr>
            <w:tcW w:type="dxa" w:w="1613"/>
            <w:vAlign w:val="center"/>
            <w:tcMar>
              <w:top w:w="50" w:type="dxa"/>
              <w:bottom w:w="50" w:type="dxa"/>
              <w:left w:w="100" w:type="dxa"/>
              <w:right w:w="100" w:type="dxa"/>
            </w:tcMar>
          </w:tcPr>
          <w:p>
            <w:pPr>
              <w:spacing w:after="0" w:line="252" w:lineRule="auto"/>
              <w:jc w:val="center"/>
            </w:pPr>
            <w:r>
              <w:rPr>
                <w:b w:val="0"/>
                <w:sz w:val="21"/>
              </w:rPr>
              <w:t>1805–1806</w:t>
            </w:r>
          </w:p>
        </w:tc>
        <w:tc>
          <w:tcPr>
            <w:tcW w:type="dxa" w:w="8266"/>
            <w:vAlign w:val="center"/>
            <w:tcMar>
              <w:top w:w="50" w:type="dxa"/>
              <w:bottom w:w="50" w:type="dxa"/>
              <w:left w:w="100" w:type="dxa"/>
              <w:right w:w="100" w:type="dxa"/>
            </w:tcMar>
          </w:tcPr>
          <w:p>
            <w:pPr>
              <w:spacing w:after="0" w:line="252" w:lineRule="auto"/>
            </w:pPr>
            <w:r>
              <w:rPr>
                <w:b w:val="0"/>
                <w:sz w:val="21"/>
              </w:rPr>
              <w:t>Lewis and Clark winter in Clatsop territory and trade repeatedly with local people. [15]</w:t>
            </w:r>
          </w:p>
        </w:tc>
      </w:tr>
      <w:tr>
        <w:trPr>
          <w:cantSplit/>
        </w:trPr>
        <w:tc>
          <w:tcPr>
            <w:tcW w:type="dxa" w:w="1613"/>
            <w:vAlign w:val="center"/>
            <w:tcMar>
              <w:top w:w="50" w:type="dxa"/>
              <w:bottom w:w="50" w:type="dxa"/>
              <w:left w:w="100" w:type="dxa"/>
              <w:right w:w="100" w:type="dxa"/>
            </w:tcMar>
          </w:tcPr>
          <w:p>
            <w:pPr>
              <w:spacing w:after="0" w:line="252" w:lineRule="auto"/>
              <w:jc w:val="center"/>
            </w:pPr>
            <w:r>
              <w:rPr>
                <w:b w:val="0"/>
                <w:sz w:val="21"/>
              </w:rPr>
              <w:t>18 March 1806</w:t>
            </w:r>
          </w:p>
        </w:tc>
        <w:tc>
          <w:tcPr>
            <w:tcW w:type="dxa" w:w="8266"/>
            <w:vAlign w:val="center"/>
            <w:tcMar>
              <w:top w:w="50" w:type="dxa"/>
              <w:bottom w:w="50" w:type="dxa"/>
              <w:left w:w="100" w:type="dxa"/>
              <w:right w:w="100" w:type="dxa"/>
            </w:tcMar>
          </w:tcPr>
          <w:p>
            <w:pPr>
              <w:spacing w:after="0" w:line="252" w:lineRule="auto"/>
            </w:pPr>
            <w:r>
              <w:rPr>
                <w:b w:val="0"/>
                <w:sz w:val="21"/>
              </w:rPr>
              <w:t>Ordway records the taking and concealment of a Clatsop canoe by expedition members. [16]</w:t>
            </w:r>
          </w:p>
        </w:tc>
      </w:tr>
      <w:tr>
        <w:trPr>
          <w:cantSplit/>
        </w:trPr>
        <w:tc>
          <w:tcPr>
            <w:tcW w:type="dxa" w:w="1613"/>
            <w:vAlign w:val="center"/>
            <w:tcMar>
              <w:top w:w="50" w:type="dxa"/>
              <w:bottom w:w="50" w:type="dxa"/>
              <w:left w:w="100" w:type="dxa"/>
              <w:right w:w="100" w:type="dxa"/>
            </w:tcMar>
          </w:tcPr>
          <w:p>
            <w:pPr>
              <w:spacing w:after="0" w:line="252" w:lineRule="auto"/>
              <w:jc w:val="center"/>
            </w:pPr>
            <w:r>
              <w:rPr>
                <w:b w:val="0"/>
                <w:sz w:val="21"/>
              </w:rPr>
              <w:t>1811</w:t>
            </w:r>
          </w:p>
        </w:tc>
        <w:tc>
          <w:tcPr>
            <w:tcW w:type="dxa" w:w="8266"/>
            <w:vAlign w:val="center"/>
            <w:tcMar>
              <w:top w:w="50" w:type="dxa"/>
              <w:bottom w:w="50" w:type="dxa"/>
              <w:left w:w="100" w:type="dxa"/>
              <w:right w:w="100" w:type="dxa"/>
            </w:tcMar>
          </w:tcPr>
          <w:p>
            <w:pPr>
              <w:spacing w:after="0" w:line="252" w:lineRule="auto"/>
            </w:pPr>
            <w:r>
              <w:rPr>
                <w:b w:val="0"/>
                <w:sz w:val="21"/>
              </w:rPr>
              <w:t>Fort Astoria is founded. Concomly becomes a powerful intermediary in trade with its residents. [13]</w:t>
            </w:r>
          </w:p>
        </w:tc>
      </w:tr>
      <w:tr>
        <w:trPr>
          <w:cantSplit/>
        </w:trPr>
        <w:tc>
          <w:tcPr>
            <w:tcW w:type="dxa" w:w="1613"/>
            <w:vAlign w:val="center"/>
            <w:tcMar>
              <w:top w:w="50" w:type="dxa"/>
              <w:bottom w:w="50" w:type="dxa"/>
              <w:left w:w="100" w:type="dxa"/>
              <w:right w:w="100" w:type="dxa"/>
            </w:tcMar>
          </w:tcPr>
          <w:p>
            <w:pPr>
              <w:spacing w:after="0" w:line="252" w:lineRule="auto"/>
              <w:jc w:val="center"/>
            </w:pPr>
            <w:r>
              <w:rPr>
                <w:b w:val="0"/>
                <w:sz w:val="21"/>
              </w:rPr>
              <w:t>1825</w:t>
            </w:r>
          </w:p>
        </w:tc>
        <w:tc>
          <w:tcPr>
            <w:tcW w:type="dxa" w:w="8266"/>
            <w:vAlign w:val="center"/>
            <w:tcMar>
              <w:top w:w="50" w:type="dxa"/>
              <w:bottom w:w="50" w:type="dxa"/>
              <w:left w:w="100" w:type="dxa"/>
              <w:right w:w="100" w:type="dxa"/>
            </w:tcMar>
          </w:tcPr>
          <w:p>
            <w:pPr>
              <w:spacing w:after="0" w:line="252" w:lineRule="auto"/>
            </w:pPr>
            <w:r>
              <w:rPr>
                <w:b w:val="0"/>
                <w:sz w:val="21"/>
              </w:rPr>
              <w:t>The Hudson’s Bay Company establishes Fort Vancouver upriver, changing the geography of trade and influence. [13]</w:t>
            </w:r>
          </w:p>
        </w:tc>
      </w:tr>
      <w:tr>
        <w:trPr>
          <w:cantSplit/>
        </w:trPr>
        <w:tc>
          <w:tcPr>
            <w:tcW w:type="dxa" w:w="1613"/>
            <w:vAlign w:val="center"/>
            <w:tcMar>
              <w:top w:w="50" w:type="dxa"/>
              <w:bottom w:w="50" w:type="dxa"/>
              <w:left w:w="100" w:type="dxa"/>
              <w:right w:w="100" w:type="dxa"/>
            </w:tcMar>
          </w:tcPr>
          <w:p>
            <w:pPr>
              <w:spacing w:after="0" w:line="252" w:lineRule="auto"/>
              <w:jc w:val="center"/>
            </w:pPr>
            <w:r>
              <w:rPr>
                <w:b w:val="0"/>
                <w:sz w:val="21"/>
              </w:rPr>
              <w:t>1830–1834</w:t>
            </w:r>
          </w:p>
        </w:tc>
        <w:tc>
          <w:tcPr>
            <w:tcW w:type="dxa" w:w="8266"/>
            <w:vAlign w:val="center"/>
            <w:tcMar>
              <w:top w:w="50" w:type="dxa"/>
              <w:bottom w:w="50" w:type="dxa"/>
              <w:left w:w="100" w:type="dxa"/>
              <w:right w:w="100" w:type="dxa"/>
            </w:tcMar>
          </w:tcPr>
          <w:p>
            <w:pPr>
              <w:spacing w:after="0" w:line="252" w:lineRule="auto"/>
            </w:pPr>
            <w:r>
              <w:rPr>
                <w:b w:val="0"/>
                <w:sz w:val="21"/>
              </w:rPr>
              <w:t>Malaria epidemics devastate lower Columbia and neighboring communities. Concomly dies in 1830. [13,14]</w:t>
            </w:r>
          </w:p>
        </w:tc>
      </w:tr>
      <w:tr>
        <w:trPr>
          <w:cantSplit/>
        </w:trPr>
        <w:tc>
          <w:tcPr>
            <w:tcW w:type="dxa" w:w="1613"/>
            <w:vAlign w:val="center"/>
            <w:tcMar>
              <w:top w:w="50" w:type="dxa"/>
              <w:bottom w:w="50" w:type="dxa"/>
              <w:left w:w="100" w:type="dxa"/>
              <w:right w:w="100" w:type="dxa"/>
            </w:tcMar>
          </w:tcPr>
          <w:p>
            <w:pPr>
              <w:spacing w:after="0" w:line="252" w:lineRule="auto"/>
              <w:jc w:val="center"/>
            </w:pPr>
            <w:r>
              <w:rPr>
                <w:b w:val="0"/>
                <w:sz w:val="21"/>
              </w:rPr>
              <w:t>August 1851</w:t>
            </w:r>
          </w:p>
        </w:tc>
        <w:tc>
          <w:tcPr>
            <w:tcW w:type="dxa" w:w="8266"/>
            <w:vAlign w:val="center"/>
            <w:tcMar>
              <w:top w:w="50" w:type="dxa"/>
              <w:bottom w:w="50" w:type="dxa"/>
              <w:left w:w="100" w:type="dxa"/>
              <w:right w:w="100" w:type="dxa"/>
            </w:tcMar>
          </w:tcPr>
          <w:p>
            <w:pPr>
              <w:spacing w:after="0" w:line="252" w:lineRule="auto"/>
            </w:pPr>
            <w:r>
              <w:rPr>
                <w:b w:val="0"/>
                <w:sz w:val="21"/>
              </w:rPr>
              <w:t>Dart negotiates Tansy Point treaties that allow Chinook communities to remain in their homelands. The Senate never ratifies them. [17,25]</w:t>
            </w:r>
          </w:p>
        </w:tc>
      </w:tr>
      <w:tr>
        <w:trPr>
          <w:cantSplit/>
        </w:trPr>
        <w:tc>
          <w:tcPr>
            <w:tcW w:type="dxa" w:w="1613"/>
            <w:vAlign w:val="center"/>
            <w:tcMar>
              <w:top w:w="50" w:type="dxa"/>
              <w:bottom w:w="50" w:type="dxa"/>
              <w:left w:w="100" w:type="dxa"/>
              <w:right w:w="100" w:type="dxa"/>
            </w:tcMar>
          </w:tcPr>
          <w:p>
            <w:pPr>
              <w:spacing w:after="0" w:line="252" w:lineRule="auto"/>
              <w:jc w:val="center"/>
            </w:pPr>
            <w:r>
              <w:rPr>
                <w:b w:val="0"/>
                <w:sz w:val="21"/>
              </w:rPr>
              <w:t>1853</w:t>
            </w:r>
          </w:p>
        </w:tc>
        <w:tc>
          <w:tcPr>
            <w:tcW w:type="dxa" w:w="8266"/>
            <w:vAlign w:val="center"/>
            <w:tcMar>
              <w:top w:w="50" w:type="dxa"/>
              <w:bottom w:w="50" w:type="dxa"/>
              <w:left w:w="100" w:type="dxa"/>
              <w:right w:w="100" w:type="dxa"/>
            </w:tcMar>
          </w:tcPr>
          <w:p>
            <w:pPr>
              <w:spacing w:after="0" w:line="252" w:lineRule="auto"/>
            </w:pPr>
            <w:r>
              <w:rPr>
                <w:b w:val="0"/>
                <w:sz w:val="21"/>
              </w:rPr>
              <w:t>Smallpox again strikes Native communities on the lower Columbia. [14]</w:t>
            </w:r>
          </w:p>
        </w:tc>
      </w:tr>
      <w:tr>
        <w:trPr>
          <w:cantSplit/>
        </w:trPr>
        <w:tc>
          <w:tcPr>
            <w:tcW w:type="dxa" w:w="1613"/>
            <w:vAlign w:val="center"/>
            <w:tcMar>
              <w:top w:w="50" w:type="dxa"/>
              <w:bottom w:w="50" w:type="dxa"/>
              <w:left w:w="100" w:type="dxa"/>
              <w:right w:w="100" w:type="dxa"/>
            </w:tcMar>
          </w:tcPr>
          <w:p>
            <w:pPr>
              <w:spacing w:after="0" w:line="252" w:lineRule="auto"/>
              <w:jc w:val="center"/>
            </w:pPr>
            <w:r>
              <w:rPr>
                <w:b w:val="0"/>
                <w:sz w:val="21"/>
              </w:rPr>
              <w:t>1855</w:t>
            </w:r>
          </w:p>
        </w:tc>
        <w:tc>
          <w:tcPr>
            <w:tcW w:type="dxa" w:w="8266"/>
            <w:vAlign w:val="center"/>
            <w:tcMar>
              <w:top w:w="50" w:type="dxa"/>
              <w:bottom w:w="50" w:type="dxa"/>
              <w:left w:w="100" w:type="dxa"/>
              <w:right w:w="100" w:type="dxa"/>
            </w:tcMar>
          </w:tcPr>
          <w:p>
            <w:pPr>
              <w:spacing w:after="0" w:line="252" w:lineRule="auto"/>
            </w:pPr>
            <w:r>
              <w:rPr>
                <w:b w:val="0"/>
                <w:sz w:val="21"/>
              </w:rPr>
              <w:t>Chinook representatives refuse proposed relocation at the Chehalis River negotiations. [26]</w:t>
            </w:r>
          </w:p>
        </w:tc>
      </w:tr>
      <w:tr>
        <w:trPr>
          <w:cantSplit/>
        </w:trPr>
        <w:tc>
          <w:tcPr>
            <w:tcW w:type="dxa" w:w="1613"/>
            <w:vAlign w:val="center"/>
            <w:tcMar>
              <w:top w:w="50" w:type="dxa"/>
              <w:bottom w:w="50" w:type="dxa"/>
              <w:left w:w="100" w:type="dxa"/>
              <w:right w:w="100" w:type="dxa"/>
            </w:tcMar>
          </w:tcPr>
          <w:p>
            <w:pPr>
              <w:spacing w:after="0" w:line="252" w:lineRule="auto"/>
              <w:jc w:val="center"/>
            </w:pPr>
            <w:r>
              <w:rPr>
                <w:b w:val="0"/>
                <w:sz w:val="21"/>
              </w:rPr>
              <w:t>Late 1800s</w:t>
            </w:r>
          </w:p>
        </w:tc>
        <w:tc>
          <w:tcPr>
            <w:tcW w:type="dxa" w:w="8266"/>
            <w:vAlign w:val="center"/>
            <w:tcMar>
              <w:top w:w="50" w:type="dxa"/>
              <w:bottom w:w="50" w:type="dxa"/>
              <w:left w:w="100" w:type="dxa"/>
              <w:right w:w="100" w:type="dxa"/>
            </w:tcMar>
          </w:tcPr>
          <w:p>
            <w:pPr>
              <w:spacing w:after="0" w:line="252" w:lineRule="auto"/>
            </w:pPr>
            <w:r>
              <w:rPr>
                <w:b w:val="0"/>
                <w:sz w:val="21"/>
              </w:rPr>
              <w:t>Chinook children attend federal boarding schools. Families also pursue claims arising from the unratified treaties. [22]</w:t>
            </w:r>
          </w:p>
        </w:tc>
      </w:tr>
      <w:tr>
        <w:trPr>
          <w:cantSplit/>
        </w:trPr>
        <w:tc>
          <w:tcPr>
            <w:tcW w:type="dxa" w:w="1613"/>
            <w:vAlign w:val="center"/>
            <w:tcMar>
              <w:top w:w="50" w:type="dxa"/>
              <w:bottom w:w="50" w:type="dxa"/>
              <w:left w:w="100" w:type="dxa"/>
              <w:right w:w="100" w:type="dxa"/>
            </w:tcMar>
          </w:tcPr>
          <w:p>
            <w:pPr>
              <w:spacing w:after="0" w:line="252" w:lineRule="auto"/>
              <w:jc w:val="center"/>
            </w:pPr>
            <w:r>
              <w:rPr>
                <w:b w:val="0"/>
                <w:sz w:val="21"/>
              </w:rPr>
              <w:t>Early 1890s</w:t>
            </w:r>
          </w:p>
        </w:tc>
        <w:tc>
          <w:tcPr>
            <w:tcW w:type="dxa" w:w="8266"/>
            <w:vAlign w:val="center"/>
            <w:tcMar>
              <w:top w:w="50" w:type="dxa"/>
              <w:bottom w:w="50" w:type="dxa"/>
              <w:left w:w="100" w:type="dxa"/>
              <w:right w:w="100" w:type="dxa"/>
            </w:tcMar>
          </w:tcPr>
          <w:p>
            <w:pPr>
              <w:spacing w:after="0" w:line="252" w:lineRule="auto"/>
            </w:pPr>
            <w:r>
              <w:rPr>
                <w:b w:val="0"/>
                <w:sz w:val="21"/>
              </w:rPr>
              <w:t>Charles Cultee works with Franz Boas at Bay Center to document language and cultural knowledge. [12]</w:t>
            </w:r>
          </w:p>
        </w:tc>
      </w:tr>
      <w:tr>
        <w:trPr>
          <w:cantSplit/>
        </w:trPr>
        <w:tc>
          <w:tcPr>
            <w:tcW w:type="dxa" w:w="1613"/>
            <w:vAlign w:val="center"/>
            <w:tcMar>
              <w:top w:w="50" w:type="dxa"/>
              <w:bottom w:w="50" w:type="dxa"/>
              <w:left w:w="100" w:type="dxa"/>
              <w:right w:w="100" w:type="dxa"/>
            </w:tcMar>
          </w:tcPr>
          <w:p>
            <w:pPr>
              <w:spacing w:after="0" w:line="252" w:lineRule="auto"/>
              <w:jc w:val="center"/>
            </w:pPr>
            <w:r>
              <w:rPr>
                <w:b w:val="0"/>
                <w:sz w:val="21"/>
              </w:rPr>
              <w:t>1920s</w:t>
            </w:r>
          </w:p>
        </w:tc>
        <w:tc>
          <w:tcPr>
            <w:tcW w:type="dxa" w:w="8266"/>
            <w:vAlign w:val="center"/>
            <w:tcMar>
              <w:top w:w="50" w:type="dxa"/>
              <w:bottom w:w="50" w:type="dxa"/>
              <w:left w:w="100" w:type="dxa"/>
              <w:right w:w="100" w:type="dxa"/>
            </w:tcMar>
          </w:tcPr>
          <w:p>
            <w:pPr>
              <w:spacing w:after="0" w:line="252" w:lineRule="auto"/>
            </w:pPr>
            <w:r>
              <w:rPr>
                <w:b w:val="0"/>
                <w:sz w:val="21"/>
              </w:rPr>
              <w:t>Chinook leaders develop written government and enrollment records while pursuing land claims. [22]</w:t>
            </w:r>
          </w:p>
        </w:tc>
      </w:tr>
      <w:tr>
        <w:trPr>
          <w:cantSplit/>
        </w:trPr>
        <w:tc>
          <w:tcPr>
            <w:tcW w:type="dxa" w:w="1613"/>
            <w:vAlign w:val="center"/>
            <w:tcMar>
              <w:top w:w="50" w:type="dxa"/>
              <w:bottom w:w="50" w:type="dxa"/>
              <w:left w:w="100" w:type="dxa"/>
              <w:right w:w="100" w:type="dxa"/>
            </w:tcMar>
          </w:tcPr>
          <w:p>
            <w:pPr>
              <w:spacing w:after="0" w:line="252" w:lineRule="auto"/>
              <w:jc w:val="center"/>
            </w:pPr>
            <w:r>
              <w:rPr>
                <w:b w:val="0"/>
                <w:sz w:val="21"/>
              </w:rPr>
              <w:t>1953</w:t>
            </w:r>
          </w:p>
        </w:tc>
        <w:tc>
          <w:tcPr>
            <w:tcW w:type="dxa" w:w="8266"/>
            <w:vAlign w:val="center"/>
            <w:tcMar>
              <w:top w:w="50" w:type="dxa"/>
              <w:bottom w:w="50" w:type="dxa"/>
              <w:left w:w="100" w:type="dxa"/>
              <w:right w:w="100" w:type="dxa"/>
            </w:tcMar>
          </w:tcPr>
          <w:p>
            <w:pPr>
              <w:spacing w:after="0" w:line="252" w:lineRule="auto"/>
            </w:pPr>
            <w:r>
              <w:rPr>
                <w:b w:val="0"/>
                <w:sz w:val="21"/>
              </w:rPr>
              <w:t>Chinook submit a constitution and bylaws to the Bureau of Indian Affairs. [22]</w:t>
            </w:r>
          </w:p>
        </w:tc>
      </w:tr>
      <w:tr>
        <w:trPr>
          <w:cantSplit/>
        </w:trPr>
        <w:tc>
          <w:tcPr>
            <w:tcW w:type="dxa" w:w="1613"/>
            <w:vAlign w:val="center"/>
            <w:tcMar>
              <w:top w:w="50" w:type="dxa"/>
              <w:bottom w:w="50" w:type="dxa"/>
              <w:left w:w="100" w:type="dxa"/>
              <w:right w:w="100" w:type="dxa"/>
            </w:tcMar>
          </w:tcPr>
          <w:p>
            <w:pPr>
              <w:spacing w:after="0" w:line="252" w:lineRule="auto"/>
              <w:jc w:val="center"/>
            </w:pPr>
            <w:r>
              <w:rPr>
                <w:b w:val="0"/>
                <w:sz w:val="21"/>
              </w:rPr>
              <w:t>1979</w:t>
            </w:r>
          </w:p>
        </w:tc>
        <w:tc>
          <w:tcPr>
            <w:tcW w:type="dxa" w:w="8266"/>
            <w:vAlign w:val="center"/>
            <w:tcMar>
              <w:top w:w="50" w:type="dxa"/>
              <w:bottom w:w="50" w:type="dxa"/>
              <w:left w:w="100" w:type="dxa"/>
              <w:right w:w="100" w:type="dxa"/>
            </w:tcMar>
          </w:tcPr>
          <w:p>
            <w:pPr>
              <w:spacing w:after="0" w:line="252" w:lineRule="auto"/>
            </w:pPr>
            <w:r>
              <w:rPr>
                <w:b w:val="0"/>
                <w:sz w:val="21"/>
              </w:rPr>
              <w:t>The Nation notifies the BIA of its intent to petition for federal acknowledgment. [18]</w:t>
            </w:r>
          </w:p>
        </w:tc>
      </w:tr>
      <w:tr>
        <w:trPr>
          <w:cantSplit/>
        </w:trPr>
        <w:tc>
          <w:tcPr>
            <w:tcW w:type="dxa" w:w="1613"/>
            <w:vAlign w:val="center"/>
            <w:tcMar>
              <w:top w:w="50" w:type="dxa"/>
              <w:bottom w:w="50" w:type="dxa"/>
              <w:left w:w="100" w:type="dxa"/>
              <w:right w:w="100" w:type="dxa"/>
            </w:tcMar>
          </w:tcPr>
          <w:p>
            <w:pPr>
              <w:spacing w:after="0" w:line="252" w:lineRule="auto"/>
              <w:jc w:val="center"/>
            </w:pPr>
            <w:r>
              <w:rPr>
                <w:b w:val="0"/>
                <w:sz w:val="21"/>
              </w:rPr>
              <w:t>3 January 2001</w:t>
            </w:r>
          </w:p>
        </w:tc>
        <w:tc>
          <w:tcPr>
            <w:tcW w:type="dxa" w:w="8266"/>
            <w:vAlign w:val="center"/>
            <w:tcMar>
              <w:top w:w="50" w:type="dxa"/>
              <w:bottom w:w="50" w:type="dxa"/>
              <w:left w:w="100" w:type="dxa"/>
              <w:right w:w="100" w:type="dxa"/>
            </w:tcMar>
          </w:tcPr>
          <w:p>
            <w:pPr>
              <w:spacing w:after="0" w:line="252" w:lineRule="auto"/>
            </w:pPr>
            <w:r>
              <w:rPr>
                <w:b w:val="0"/>
                <w:sz w:val="21"/>
              </w:rPr>
              <w:t>Kevin Gover signs a favorable final determination for Chinook federal acknowledgment. [18]</w:t>
            </w:r>
          </w:p>
        </w:tc>
      </w:tr>
      <w:tr>
        <w:trPr>
          <w:cantSplit/>
        </w:trPr>
        <w:tc>
          <w:tcPr>
            <w:tcW w:type="dxa" w:w="1613"/>
            <w:vAlign w:val="center"/>
            <w:tcMar>
              <w:top w:w="50" w:type="dxa"/>
              <w:bottom w:w="50" w:type="dxa"/>
              <w:left w:w="100" w:type="dxa"/>
              <w:right w:w="100" w:type="dxa"/>
            </w:tcMar>
          </w:tcPr>
          <w:p>
            <w:pPr>
              <w:spacing w:after="0" w:line="252" w:lineRule="auto"/>
              <w:jc w:val="center"/>
            </w:pPr>
            <w:r>
              <w:rPr>
                <w:b w:val="0"/>
                <w:sz w:val="21"/>
              </w:rPr>
              <w:t>2002</w:t>
            </w:r>
          </w:p>
        </w:tc>
        <w:tc>
          <w:tcPr>
            <w:tcW w:type="dxa" w:w="8266"/>
            <w:vAlign w:val="center"/>
            <w:tcMar>
              <w:top w:w="50" w:type="dxa"/>
              <w:bottom w:w="50" w:type="dxa"/>
              <w:left w:w="100" w:type="dxa"/>
              <w:right w:w="100" w:type="dxa"/>
            </w:tcMar>
          </w:tcPr>
          <w:p>
            <w:pPr>
              <w:spacing w:after="0" w:line="252" w:lineRule="auto"/>
            </w:pPr>
            <w:r>
              <w:rPr>
                <w:b w:val="0"/>
                <w:sz w:val="21"/>
              </w:rPr>
              <w:t>The Interior Department reverses the 2001 determination following reconsideration. [19]</w:t>
            </w:r>
          </w:p>
        </w:tc>
      </w:tr>
      <w:tr>
        <w:trPr>
          <w:cantSplit/>
        </w:trPr>
        <w:tc>
          <w:tcPr>
            <w:tcW w:type="dxa" w:w="1613"/>
            <w:vAlign w:val="center"/>
            <w:tcMar>
              <w:top w:w="50" w:type="dxa"/>
              <w:bottom w:w="50" w:type="dxa"/>
              <w:left w:w="100" w:type="dxa"/>
              <w:right w:w="100" w:type="dxa"/>
            </w:tcMar>
          </w:tcPr>
          <w:p>
            <w:pPr>
              <w:spacing w:after="0" w:line="252" w:lineRule="auto"/>
              <w:jc w:val="center"/>
            </w:pPr>
            <w:r>
              <w:rPr>
                <w:b w:val="0"/>
                <w:sz w:val="21"/>
              </w:rPr>
              <w:t>2005</w:t>
            </w:r>
          </w:p>
        </w:tc>
        <w:tc>
          <w:tcPr>
            <w:tcW w:type="dxa" w:w="8266"/>
            <w:vAlign w:val="center"/>
            <w:tcMar>
              <w:top w:w="50" w:type="dxa"/>
              <w:bottom w:w="50" w:type="dxa"/>
              <w:left w:w="100" w:type="dxa"/>
              <w:right w:w="100" w:type="dxa"/>
            </w:tcMar>
          </w:tcPr>
          <w:p>
            <w:pPr>
              <w:spacing w:after="0" w:line="252" w:lineRule="auto"/>
            </w:pPr>
            <w:r>
              <w:rPr>
                <w:b w:val="0"/>
                <w:sz w:val="21"/>
              </w:rPr>
              <w:t>A newly built Cathlapotle plankhouse opens, supporting Chinook cultural work at a wider Chinookan heritage site. [1,22]</w:t>
            </w:r>
          </w:p>
        </w:tc>
      </w:tr>
      <w:tr>
        <w:trPr>
          <w:cantSplit/>
        </w:trPr>
        <w:tc>
          <w:tcPr>
            <w:tcW w:type="dxa" w:w="1613"/>
            <w:vAlign w:val="center"/>
            <w:tcMar>
              <w:top w:w="50" w:type="dxa"/>
              <w:bottom w:w="50" w:type="dxa"/>
              <w:left w:w="100" w:type="dxa"/>
              <w:right w:w="100" w:type="dxa"/>
            </w:tcMar>
          </w:tcPr>
          <w:p>
            <w:pPr>
              <w:spacing w:after="0" w:line="252" w:lineRule="auto"/>
              <w:jc w:val="center"/>
            </w:pPr>
            <w:r>
              <w:rPr>
                <w:b w:val="0"/>
                <w:sz w:val="21"/>
              </w:rPr>
              <w:t>8 April 2019</w:t>
            </w:r>
          </w:p>
        </w:tc>
        <w:tc>
          <w:tcPr>
            <w:tcW w:type="dxa" w:w="8266"/>
            <w:vAlign w:val="center"/>
            <w:tcMar>
              <w:top w:w="50" w:type="dxa"/>
              <w:bottom w:w="50" w:type="dxa"/>
              <w:left w:w="100" w:type="dxa"/>
              <w:right w:w="100" w:type="dxa"/>
            </w:tcMar>
          </w:tcPr>
          <w:p>
            <w:pPr>
              <w:spacing w:after="0" w:line="252" w:lineRule="auto"/>
            </w:pPr>
            <w:r>
              <w:rPr>
                <w:b w:val="0"/>
                <w:sz w:val="21"/>
              </w:rPr>
              <w:t>The Nation closes its purchase of ten acres of Tansy Point treaty grounds, according to Cushman’s account. [17]</w:t>
            </w:r>
          </w:p>
        </w:tc>
      </w:tr>
      <w:tr>
        <w:trPr>
          <w:cantSplit/>
        </w:trPr>
        <w:tc>
          <w:tcPr>
            <w:tcW w:type="dxa" w:w="1613"/>
            <w:vAlign w:val="center"/>
            <w:tcMar>
              <w:top w:w="50" w:type="dxa"/>
              <w:bottom w:w="50" w:type="dxa"/>
              <w:left w:w="100" w:type="dxa"/>
              <w:right w:w="100" w:type="dxa"/>
            </w:tcMar>
          </w:tcPr>
          <w:p>
            <w:pPr>
              <w:spacing w:after="0" w:line="252" w:lineRule="auto"/>
              <w:jc w:val="center"/>
            </w:pPr>
            <w:r>
              <w:rPr>
                <w:b w:val="0"/>
                <w:sz w:val="21"/>
              </w:rPr>
              <w:t>2026</w:t>
            </w:r>
          </w:p>
        </w:tc>
        <w:tc>
          <w:tcPr>
            <w:tcW w:type="dxa" w:w="8266"/>
            <w:vAlign w:val="center"/>
            <w:tcMar>
              <w:top w:w="50" w:type="dxa"/>
              <w:bottom w:w="50" w:type="dxa"/>
              <w:left w:w="100" w:type="dxa"/>
              <w:right w:w="100" w:type="dxa"/>
            </w:tcMar>
          </w:tcPr>
          <w:p>
            <w:pPr>
              <w:spacing w:after="0" w:line="252" w:lineRule="auto"/>
            </w:pPr>
            <w:r>
              <w:rPr>
                <w:b w:val="0"/>
                <w:sz w:val="21"/>
              </w:rPr>
              <w:t>The Nation continues cultural work and planning at Tansy Point. It remains absent from the federal recognition list. [17,20–21]</w:t>
            </w:r>
          </w:p>
        </w:tc>
      </w:tr>
    </w:tbl>
    <w:p>
      <w:pPr>
        <w:pStyle w:val="Heading1"/>
        <w:pageBreakBefore/>
      </w:pPr>
      <w:r>
        <w:t>Sources and URLs</w:t>
      </w:r>
    </w:p>
    <w:p>
      <w:r>
        <w:t>Numbers in the text identify the sources below. The study combines tribal accounts, university scholarship, historical testimony and government records. Historical records are identified as such. The Portland State article link supplies a university publication record and abstract. Current federal status was checked against the 2026 list. All URLs below were opened during research.</w:t>
      </w:r>
    </w:p>
    <w:p>
      <w:pPr>
        <w:keepNext/>
        <w:spacing w:after="20"/>
      </w:pPr>
      <w:r>
        <w:rPr>
          <w:sz w:val="21"/>
        </w:rPr>
        <w:t>[1] Chinook Indian Nation. Our Territory Chinook Nation vs Chinookan (2021). Tribal explanation of membership, territorial scope and neighboring Chinookan peoples.</w:t>
      </w:r>
    </w:p>
    <w:p>
      <w:pPr>
        <w:spacing w:after="100" w:line="240" w:lineRule="auto"/>
      </w:pPr>
      <w:hyperlink r:id="rId11">
        <w:r>
          <w:rPr>
            <w:color w:val="164B73"/>
            <w:sz w:val="20"/>
          </w:rPr>
          <w:t>https://chinooknation.org/our-territory-chinook-indian-nation-vs-chinooka/</w:t>
        </w:r>
      </w:hyperlink>
    </w:p>
    <w:p>
      <w:pPr>
        <w:keepNext/>
        <w:spacing w:after="20"/>
      </w:pPr>
      <w:r>
        <w:rPr>
          <w:sz w:val="21"/>
        </w:rPr>
        <w:t>[2] Henry B. Zenk, Yvonne P. Hajda and Robert T. Boyd. Chinookan Villages of the Lower Columbia (2016), Oregon Historical Quarterly 117, 6–37. Portland State University publication record and abstract.</w:t>
      </w:r>
    </w:p>
    <w:p>
      <w:pPr>
        <w:spacing w:after="100" w:line="240" w:lineRule="auto"/>
      </w:pPr>
      <w:hyperlink r:id="rId12">
        <w:r>
          <w:rPr>
            <w:color w:val="164B73"/>
            <w:sz w:val="20"/>
          </w:rPr>
          <w:t>https://pdxscholar.library.pdx.edu/anth_fac/93/</w:t>
        </w:r>
      </w:hyperlink>
    </w:p>
    <w:p>
      <w:pPr>
        <w:keepNext/>
        <w:spacing w:after="20"/>
      </w:pPr>
      <w:r>
        <w:rPr>
          <w:sz w:val="21"/>
        </w:rPr>
        <w:t>[3] Kenneth Ames. Chinookan Plankhouses. The Oregon Encyclopedia, Oregon Historical Society. Scholarly explanation grounded in archaeological research.</w:t>
      </w:r>
    </w:p>
    <w:p>
      <w:pPr>
        <w:spacing w:after="100" w:line="240" w:lineRule="auto"/>
      </w:pPr>
      <w:hyperlink r:id="rId13">
        <w:r>
          <w:rPr>
            <w:color w:val="164B73"/>
            <w:sz w:val="20"/>
          </w:rPr>
          <w:t>https://www.oregonencyclopedia.org/articles/chinookan_plank_houses/</w:t>
        </w:r>
      </w:hyperlink>
    </w:p>
    <w:p>
      <w:pPr>
        <w:keepNext/>
        <w:spacing w:after="20"/>
      </w:pPr>
      <w:r>
        <w:rPr>
          <w:sz w:val="21"/>
        </w:rPr>
        <w:t>[4] Chinook Story. Chinook Fishing. A Chinook Nation and Portland State University public history collaboration using historical descriptions and tribal knowledge.</w:t>
      </w:r>
    </w:p>
    <w:p>
      <w:pPr>
        <w:spacing w:after="100" w:line="240" w:lineRule="auto"/>
      </w:pPr>
      <w:hyperlink r:id="rId14">
        <w:r>
          <w:rPr>
            <w:color w:val="164B73"/>
            <w:sz w:val="20"/>
          </w:rPr>
          <w:t>https://chinookstory.org/chinook-fishing/</w:t>
        </w:r>
      </w:hyperlink>
    </w:p>
    <w:p>
      <w:pPr>
        <w:keepNext/>
        <w:spacing w:after="20"/>
      </w:pPr>
      <w:r>
        <w:rPr>
          <w:sz w:val="21"/>
        </w:rPr>
        <w:t>[5] National Park Service. Chinook Canoes. Includes an excerpt from Meriwether Lewis’s journal of 1 February 1806.</w:t>
      </w:r>
    </w:p>
    <w:p>
      <w:pPr>
        <w:spacing w:after="100" w:line="240" w:lineRule="auto"/>
      </w:pPr>
      <w:hyperlink r:id="rId15">
        <w:r>
          <w:rPr>
            <w:color w:val="164B73"/>
            <w:sz w:val="20"/>
          </w:rPr>
          <w:t>https://www.nps.gov/articles/000/chinook-canoes.htm</w:t>
        </w:r>
      </w:hyperlink>
    </w:p>
    <w:p>
      <w:pPr>
        <w:keepNext/>
        <w:spacing w:after="20"/>
      </w:pPr>
      <w:r>
        <w:rPr>
          <w:sz w:val="21"/>
        </w:rPr>
        <w:t>[6] National Park Service. Chinook Clothing. Historical evidence about garments, materials and trade during the expedition winter.</w:t>
      </w:r>
    </w:p>
    <w:p>
      <w:pPr>
        <w:spacing w:after="100" w:line="240" w:lineRule="auto"/>
      </w:pPr>
      <w:hyperlink r:id="rId16">
        <w:r>
          <w:rPr>
            <w:color w:val="164B73"/>
            <w:sz w:val="20"/>
          </w:rPr>
          <w:t>https://www.nps.gov/articles/000/chinook-clothing.htm</w:t>
        </w:r>
      </w:hyperlink>
    </w:p>
    <w:p>
      <w:pPr>
        <w:keepNext/>
        <w:spacing w:after="20"/>
      </w:pPr>
      <w:r>
        <w:rPr>
          <w:sz w:val="21"/>
        </w:rPr>
        <w:t>[7] Chinook Story. Status at the River’s Mouth. Includes Tony Johnson’s 2002 interview and discussion of leadership and social rank.</w:t>
      </w:r>
    </w:p>
    <w:p>
      <w:pPr>
        <w:spacing w:after="100" w:line="240" w:lineRule="auto"/>
      </w:pPr>
      <w:hyperlink r:id="rId17">
        <w:r>
          <w:rPr>
            <w:color w:val="164B73"/>
            <w:sz w:val="20"/>
          </w:rPr>
          <w:t>https://chinookstory.org/status-rivers-mouth/</w:t>
        </w:r>
      </w:hyperlink>
    </w:p>
    <w:p>
      <w:pPr>
        <w:keepNext/>
        <w:spacing w:after="20"/>
      </w:pPr>
      <w:r>
        <w:rPr>
          <w:sz w:val="21"/>
        </w:rPr>
        <w:t>[8] Chinook Story. Gender and Economic Autonomy. Interpretation of women’s property, work and basketry markets, with scholarly references.</w:t>
      </w:r>
    </w:p>
    <w:p>
      <w:pPr>
        <w:spacing w:after="100" w:line="240" w:lineRule="auto"/>
      </w:pPr>
      <w:hyperlink r:id="rId18">
        <w:r>
          <w:rPr>
            <w:color w:val="164B73"/>
            <w:sz w:val="20"/>
          </w:rPr>
          <w:t>https://chinookstory.org/basketry-gender/</w:t>
        </w:r>
      </w:hyperlink>
    </w:p>
    <w:p>
      <w:pPr>
        <w:keepNext/>
        <w:spacing w:after="20"/>
      </w:pPr>
      <w:r>
        <w:rPr>
          <w:sz w:val="21"/>
        </w:rPr>
        <w:t>[9] Henry Zenk. Chinook Jargon Chinuk Wawa. The Oregon Encyclopedia. Linguistic scholarship on the language and the debate over its origins.</w:t>
      </w:r>
    </w:p>
    <w:p>
      <w:pPr>
        <w:spacing w:after="100" w:line="240" w:lineRule="auto"/>
      </w:pPr>
      <w:hyperlink r:id="rId19">
        <w:r>
          <w:rPr>
            <w:color w:val="164B73"/>
            <w:sz w:val="20"/>
          </w:rPr>
          <w:t>https://www.oregonencyclopedia.org/articles/chinook_jargon/</w:t>
        </w:r>
      </w:hyperlink>
    </w:p>
    <w:p>
      <w:pPr>
        <w:keepNext/>
        <w:spacing w:after="20"/>
      </w:pPr>
      <w:r>
        <w:rPr>
          <w:sz w:val="21"/>
        </w:rPr>
        <w:t>[10] Chinook Indian Nation. First Salmon Ceremony (2021). A tribal account and photographic record of the continuing ceremony.</w:t>
      </w:r>
    </w:p>
    <w:p>
      <w:pPr>
        <w:spacing w:after="100" w:line="240" w:lineRule="auto"/>
      </w:pPr>
      <w:hyperlink r:id="rId20">
        <w:r>
          <w:rPr>
            <w:color w:val="164B73"/>
            <w:sz w:val="20"/>
          </w:rPr>
          <w:t>https://chinooknation.org/first-salmon-ceremony/</w:t>
        </w:r>
      </w:hyperlink>
    </w:p>
    <w:p>
      <w:pPr>
        <w:keepNext/>
        <w:spacing w:after="20"/>
      </w:pPr>
      <w:r>
        <w:rPr>
          <w:sz w:val="21"/>
        </w:rPr>
        <w:t>[11] Verne F. Ray. Lower Chinook Ethnographic Notes (1938), section Feasting and Gift Giving, pages 93–95. University of Washington anthropology publication excerpt hosted by Chinook Story. Older ethnography requires attention to its terminology and context.</w:t>
      </w:r>
    </w:p>
    <w:p>
      <w:pPr>
        <w:spacing w:after="100" w:line="240" w:lineRule="auto"/>
      </w:pPr>
      <w:hyperlink r:id="rId21">
        <w:r>
          <w:rPr>
            <w:color w:val="164B73"/>
            <w:sz w:val="20"/>
          </w:rPr>
          <w:t>https://chinookstory.org/wp-content/uploads/2018/05/vr_92-95_feasting-and-gift-giving.pdf</w:t>
        </w:r>
      </w:hyperlink>
    </w:p>
    <w:p>
      <w:pPr>
        <w:keepNext/>
        <w:spacing w:after="20"/>
      </w:pPr>
      <w:r>
        <w:rPr>
          <w:sz w:val="21"/>
        </w:rPr>
        <w:t>[12] Chinook Indian Nation. Charles Cultee and Franz Boas (2021). Tribal account of Cultee’s role in language documentation.</w:t>
      </w:r>
    </w:p>
    <w:p>
      <w:pPr>
        <w:spacing w:after="100" w:line="240" w:lineRule="auto"/>
      </w:pPr>
      <w:hyperlink r:id="rId22">
        <w:r>
          <w:rPr>
            <w:color w:val="164B73"/>
            <w:sz w:val="20"/>
          </w:rPr>
          <w:t>https://chinooknation.org/charles-cultee-and-franz-boas/</w:t>
        </w:r>
      </w:hyperlink>
    </w:p>
    <w:p>
      <w:pPr>
        <w:keepNext/>
        <w:spacing w:after="20"/>
      </w:pPr>
      <w:r>
        <w:rPr>
          <w:sz w:val="21"/>
        </w:rPr>
        <w:t>[13] Yvonne Hajda. Concomly 1765 to 1830. The Oregon Encyclopedia. Scholarly biography with approximate birth and death dates.</w:t>
      </w:r>
    </w:p>
    <w:p>
      <w:pPr>
        <w:spacing w:after="100" w:line="240" w:lineRule="auto"/>
      </w:pPr>
      <w:hyperlink r:id="rId23">
        <w:r>
          <w:rPr>
            <w:color w:val="164B73"/>
            <w:sz w:val="20"/>
          </w:rPr>
          <w:t>https://www.oregonencyclopedia.org/articles/concomly_1765_1830_/</w:t>
        </w:r>
      </w:hyperlink>
    </w:p>
    <w:p>
      <w:pPr>
        <w:keepNext/>
        <w:spacing w:after="20"/>
      </w:pPr>
      <w:r>
        <w:rPr>
          <w:sz w:val="21"/>
        </w:rPr>
        <w:t>[14] Robert Boyd. Disease Epidemics among Indians 1770s to 1850s. The Oregon Encyclopedia. Historical epidemiology with discussion of uncertain dates and regional losses.</w:t>
      </w:r>
    </w:p>
    <w:p>
      <w:pPr>
        <w:spacing w:after="100" w:line="240" w:lineRule="auto"/>
      </w:pPr>
      <w:hyperlink r:id="rId24">
        <w:r>
          <w:rPr>
            <w:color w:val="164B73"/>
            <w:sz w:val="20"/>
          </w:rPr>
          <w:t>https://www.oregonencyclopedia.org/articles/disease_epidemics_1770s-1850s/</w:t>
        </w:r>
      </w:hyperlink>
    </w:p>
    <w:p>
      <w:pPr>
        <w:keepNext/>
        <w:spacing w:after="20"/>
      </w:pPr>
      <w:r>
        <w:rPr>
          <w:sz w:val="21"/>
        </w:rPr>
        <w:t>[15] National Park Service. Fort Clatsop Stealing the Canoe. Interpretation of Coboway’s assistance, winter trade and the canoe theft.</w:t>
      </w:r>
    </w:p>
    <w:p>
      <w:pPr>
        <w:spacing w:after="100" w:line="240" w:lineRule="auto"/>
      </w:pPr>
      <w:hyperlink r:id="rId25">
        <w:r>
          <w:rPr>
            <w:color w:val="164B73"/>
            <w:sz w:val="20"/>
          </w:rPr>
          <w:t>https://www.nps.gov/places/fort-clatsop-stealing-the-canoe.htm</w:t>
        </w:r>
      </w:hyperlink>
    </w:p>
    <w:p>
      <w:pPr>
        <w:keepNext/>
        <w:spacing w:after="20"/>
      </w:pPr>
      <w:r>
        <w:rPr>
          <w:sz w:val="21"/>
        </w:rPr>
        <w:t>[16] John Ordway and other expedition writers. Journals of 18 March 1806. University of Nebraska scholarly edition, including editorial notes. Primary testimony for the canoe theft.</w:t>
      </w:r>
    </w:p>
    <w:p>
      <w:pPr>
        <w:spacing w:after="100" w:line="240" w:lineRule="auto"/>
      </w:pPr>
      <w:hyperlink r:id="rId26">
        <w:r>
          <w:rPr>
            <w:color w:val="164B73"/>
            <w:sz w:val="20"/>
          </w:rPr>
          <w:t>https://lewisandclarkjournals.unl.edu/item/lc.jrn.1806-03-18</w:t>
        </w:r>
      </w:hyperlink>
    </w:p>
    <w:p>
      <w:pPr>
        <w:keepNext/>
        <w:spacing w:after="20"/>
      </w:pPr>
      <w:r>
        <w:rPr>
          <w:sz w:val="21"/>
        </w:rPr>
        <w:t>[17] Rachel Lynne Cushman. The 175th Commemoration of Our 1851 Tansy Point Treaties (7 August 2026). Tribal scholar’s account drawing on her University of Oregon doctoral dissertation, archival evidence and family oral history.</w:t>
      </w:r>
    </w:p>
    <w:p>
      <w:pPr>
        <w:spacing w:after="100" w:line="240" w:lineRule="auto"/>
      </w:pPr>
      <w:hyperlink r:id="rId27">
        <w:r>
          <w:rPr>
            <w:color w:val="164B73"/>
            <w:sz w:val="20"/>
          </w:rPr>
          <w:t>https://chinooknation.org/the-175th-commemoration-of-our-1851-tansy-point-treaties/</w:t>
        </w:r>
      </w:hyperlink>
    </w:p>
    <w:p>
      <w:pPr>
        <w:keepNext/>
        <w:spacing w:after="20"/>
      </w:pPr>
      <w:r>
        <w:rPr>
          <w:sz w:val="21"/>
        </w:rPr>
        <w:t>[18] Bureau of Indian Affairs. BIA Issues Final Determination on the Recognition of the Chinook Indian Tribe Chinook Nation (3 January 2001). Primary government statement of the favorable determination.</w:t>
      </w:r>
    </w:p>
    <w:p>
      <w:pPr>
        <w:spacing w:after="100" w:line="240" w:lineRule="auto"/>
      </w:pPr>
      <w:hyperlink r:id="rId28">
        <w:r>
          <w:rPr>
            <w:color w:val="164B73"/>
            <w:sz w:val="20"/>
          </w:rPr>
          <w:t>https://www.bia.gov/as-ia/opa/online-press-release/bia-issues-final-determination-recognition-chinook-indian</w:t>
        </w:r>
      </w:hyperlink>
    </w:p>
    <w:p>
      <w:pPr>
        <w:keepNext/>
        <w:spacing w:after="20"/>
      </w:pPr>
      <w:r>
        <w:rPr>
          <w:sz w:val="21"/>
        </w:rPr>
        <w:t>[19] Bureau of Indian Affairs. Final Determination Declines Chinook Recognition (2002). Primary government explanation of the reversal. Its conclusions are the department’s position and are disputed by the Nation.</w:t>
      </w:r>
    </w:p>
    <w:p>
      <w:pPr>
        <w:spacing w:after="100" w:line="240" w:lineRule="auto"/>
      </w:pPr>
      <w:hyperlink r:id="rId29">
        <w:r>
          <w:rPr>
            <w:color w:val="164B73"/>
            <w:sz w:val="20"/>
          </w:rPr>
          <w:t>https://www.bia.gov/as-ia/opa/online-press-release/final-determination-declines-chinook-recognition</w:t>
        </w:r>
      </w:hyperlink>
    </w:p>
    <w:p>
      <w:pPr>
        <w:keepNext/>
        <w:spacing w:after="20"/>
      </w:pPr>
      <w:r>
        <w:rPr>
          <w:sz w:val="21"/>
        </w:rPr>
        <w:t>[20] Bureau of Indian Affairs. Indian Entities Recognized by and Eligible to Receive Services (30 January 2026), Federal Register 91, 4102–4106. Current published recognition list.</w:t>
      </w:r>
    </w:p>
    <w:p>
      <w:pPr>
        <w:spacing w:after="100" w:line="240" w:lineRule="auto"/>
      </w:pPr>
      <w:hyperlink r:id="rId30">
        <w:r>
          <w:rPr>
            <w:color w:val="164B73"/>
            <w:sz w:val="20"/>
          </w:rPr>
          <w:t>https://www.federalregister.gov/documents/2026/01/30/2026-01899/indian-entities-recognized-by-and-eligible-to-receive-services-from-the-united-states-bureau-of</w:t>
        </w:r>
      </w:hyperlink>
    </w:p>
    <w:p>
      <w:pPr>
        <w:keepNext/>
        <w:spacing w:after="20"/>
      </w:pPr>
      <w:r>
        <w:rPr>
          <w:sz w:val="21"/>
        </w:rPr>
        <w:t>[21] Chinook Indian Nation. Culture Committee. Primary account of present cultural programs and gatherings.</w:t>
      </w:r>
    </w:p>
    <w:p>
      <w:pPr>
        <w:spacing w:after="100" w:line="240" w:lineRule="auto"/>
      </w:pPr>
      <w:hyperlink r:id="rId31">
        <w:r>
          <w:rPr>
            <w:color w:val="164B73"/>
            <w:sz w:val="20"/>
          </w:rPr>
          <w:t>https://chinooknation.org/chinook-tribe-culture/</w:t>
        </w:r>
      </w:hyperlink>
    </w:p>
    <w:p>
      <w:pPr>
        <w:keepNext/>
        <w:spacing w:after="20"/>
      </w:pPr>
      <w:r>
        <w:rPr>
          <w:sz w:val="21"/>
        </w:rPr>
        <w:t>[22] Chinook Story. A Lower Columbia Chinook Historical Timeline. Public history chronology with archival and scholarly references. Used selectively alongside sources specific to major events.</w:t>
      </w:r>
    </w:p>
    <w:p>
      <w:pPr>
        <w:spacing w:after="100" w:line="240" w:lineRule="auto"/>
      </w:pPr>
      <w:hyperlink r:id="rId32">
        <w:r>
          <w:rPr>
            <w:color w:val="164B73"/>
            <w:sz w:val="20"/>
          </w:rPr>
          <w:t>https://chinookstory.org/lower-columbia-chinook-historical-timeline/</w:t>
        </w:r>
      </w:hyperlink>
    </w:p>
    <w:p>
      <w:pPr>
        <w:keepNext/>
        <w:spacing w:after="20"/>
      </w:pPr>
      <w:r>
        <w:rPr>
          <w:sz w:val="21"/>
        </w:rPr>
        <w:t>[23] Melinda Jette and Cain Allen. Chinookans of the Lower Columbia River (2003). Oregon Historical Society interpretation of an 1841 lodge image and early regional society.</w:t>
      </w:r>
    </w:p>
    <w:p>
      <w:pPr>
        <w:spacing w:after="100" w:line="240" w:lineRule="auto"/>
      </w:pPr>
      <w:hyperlink r:id="rId33">
        <w:r>
          <w:rPr>
            <w:color w:val="164B73"/>
            <w:sz w:val="20"/>
          </w:rPr>
          <w:t>https://www.oregonhistoryproject.org/articles/historical-records/chinookans-of-the-lower-columbia-river/</w:t>
        </w:r>
      </w:hyperlink>
    </w:p>
    <w:p>
      <w:pPr>
        <w:keepNext/>
        <w:spacing w:after="20"/>
      </w:pPr>
      <w:r>
        <w:rPr>
          <w:sz w:val="21"/>
        </w:rPr>
        <w:t>[24] Chinook Indian Nation. Contemporary Chinookan Art (2021). Primary examples of cultural renewal through carving and public art.</w:t>
      </w:r>
    </w:p>
    <w:p>
      <w:pPr>
        <w:spacing w:after="100" w:line="240" w:lineRule="auto"/>
      </w:pPr>
      <w:hyperlink r:id="rId34">
        <w:r>
          <w:rPr>
            <w:color w:val="164B73"/>
            <w:sz w:val="20"/>
          </w:rPr>
          <w:t>https://chinooknation.org/contemporary-chinookan-art/</w:t>
        </w:r>
      </w:hyperlink>
    </w:p>
    <w:p>
      <w:pPr>
        <w:keepNext/>
        <w:spacing w:after="20"/>
      </w:pPr>
      <w:r>
        <w:rPr>
          <w:sz w:val="21"/>
        </w:rPr>
        <w:t>[25] National Park Service. Tansy Point. Official historical interpretation of the 1851 negotiations and nonratification.</w:t>
      </w:r>
    </w:p>
    <w:p>
      <w:pPr>
        <w:spacing w:after="100" w:line="240" w:lineRule="auto"/>
      </w:pPr>
      <w:hyperlink r:id="rId35">
        <w:r>
          <w:rPr>
            <w:color w:val="164B73"/>
            <w:sz w:val="20"/>
          </w:rPr>
          <w:t>https://www.nps.gov/places/tansy-point.htm</w:t>
        </w:r>
      </w:hyperlink>
    </w:p>
    <w:p>
      <w:pPr>
        <w:keepNext/>
        <w:spacing w:after="20"/>
      </w:pPr>
      <w:r>
        <w:rPr>
          <w:sz w:val="21"/>
        </w:rPr>
        <w:t>[26] Chinook Story. Treaty of Chehalis. Interpretation and quotation from James Swan’s eyewitness account of the 1855 negotiations.</w:t>
      </w:r>
    </w:p>
    <w:p>
      <w:pPr>
        <w:spacing w:after="100" w:line="240" w:lineRule="auto"/>
      </w:pPr>
      <w:hyperlink r:id="rId36">
        <w:r>
          <w:rPr>
            <w:color w:val="164B73"/>
            <w:sz w:val="20"/>
          </w:rPr>
          <w:t>https://chinookstory.org/treaty-of-chehalis/</w:t>
        </w:r>
      </w:hyperlink>
    </w:p>
    <w:sectPr w:rsidR="00FC693F" w:rsidRPr="0006063C" w:rsidSect="00034616">
      <w:headerReference w:type="default" r:id="rId9"/>
      <w:footerReference w:type="default" r:id="rId10"/>
      <w:pgSz w:w="12240" w:h="15840"/>
      <w:pgMar w:top="1123" w:right="1181" w:bottom="1080" w:left="1181"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CHINOOK CULTURE AND HISTORY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20"/>
    </w:pPr>
    <w:rPr>
      <w:rFonts w:ascii="Calibri" w:hAnsi="Calibri" w:eastAsia="Calibri"/>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eastAsia="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eastAsia="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libri" w:hAnsi="Calibri" w:eastAsia="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eastAsia="Calibr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eastAsia="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eastAsia="Calibri"/>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Theme="majorHAnsi" w:eastAsiaTheme="majorEastAsia" w:hAnsiTheme="majorHAnsi" w:cstheme="majorBidi" w:ascii="Calibri" w:hAnsi="Calibri" w:eastAsia="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hinooknation.org/our-territory-chinook-indian-nation-vs-chinooka/" TargetMode="External"/><Relationship Id="rId12" Type="http://schemas.openxmlformats.org/officeDocument/2006/relationships/hyperlink" Target="https://pdxscholar.library.pdx.edu/anth_fac/93/" TargetMode="External"/><Relationship Id="rId13" Type="http://schemas.openxmlformats.org/officeDocument/2006/relationships/hyperlink" Target="https://www.oregonencyclopedia.org/articles/chinookan_plank_houses/" TargetMode="External"/><Relationship Id="rId14" Type="http://schemas.openxmlformats.org/officeDocument/2006/relationships/hyperlink" Target="https://chinookstory.org/chinook-fishing/" TargetMode="External"/><Relationship Id="rId15" Type="http://schemas.openxmlformats.org/officeDocument/2006/relationships/hyperlink" Target="https://www.nps.gov/articles/000/chinook-canoes.htm" TargetMode="External"/><Relationship Id="rId16" Type="http://schemas.openxmlformats.org/officeDocument/2006/relationships/hyperlink" Target="https://www.nps.gov/articles/000/chinook-clothing.htm" TargetMode="External"/><Relationship Id="rId17" Type="http://schemas.openxmlformats.org/officeDocument/2006/relationships/hyperlink" Target="https://chinookstory.org/status-rivers-mouth/" TargetMode="External"/><Relationship Id="rId18" Type="http://schemas.openxmlformats.org/officeDocument/2006/relationships/hyperlink" Target="https://chinookstory.org/basketry-gender/" TargetMode="External"/><Relationship Id="rId19" Type="http://schemas.openxmlformats.org/officeDocument/2006/relationships/hyperlink" Target="https://www.oregonencyclopedia.org/articles/chinook_jargon/" TargetMode="External"/><Relationship Id="rId20" Type="http://schemas.openxmlformats.org/officeDocument/2006/relationships/hyperlink" Target="https://chinooknation.org/first-salmon-ceremony/" TargetMode="External"/><Relationship Id="rId21" Type="http://schemas.openxmlformats.org/officeDocument/2006/relationships/hyperlink" Target="https://chinookstory.org/wp-content/uploads/2018/05/vr_92-95_feasting-and-gift-giving.pdf" TargetMode="External"/><Relationship Id="rId22" Type="http://schemas.openxmlformats.org/officeDocument/2006/relationships/hyperlink" Target="https://chinooknation.org/charles-cultee-and-franz-boas/" TargetMode="External"/><Relationship Id="rId23" Type="http://schemas.openxmlformats.org/officeDocument/2006/relationships/hyperlink" Target="https://www.oregonencyclopedia.org/articles/concomly_1765_1830_/" TargetMode="External"/><Relationship Id="rId24" Type="http://schemas.openxmlformats.org/officeDocument/2006/relationships/hyperlink" Target="https://www.oregonencyclopedia.org/articles/disease_epidemics_1770s-1850s/" TargetMode="External"/><Relationship Id="rId25" Type="http://schemas.openxmlformats.org/officeDocument/2006/relationships/hyperlink" Target="https://www.nps.gov/places/fort-clatsop-stealing-the-canoe.htm" TargetMode="External"/><Relationship Id="rId26" Type="http://schemas.openxmlformats.org/officeDocument/2006/relationships/hyperlink" Target="https://lewisandclarkjournals.unl.edu/item/lc.jrn.1806-03-18" TargetMode="External"/><Relationship Id="rId27" Type="http://schemas.openxmlformats.org/officeDocument/2006/relationships/hyperlink" Target="https://chinooknation.org/the-175th-commemoration-of-our-1851-tansy-point-treaties/" TargetMode="External"/><Relationship Id="rId28" Type="http://schemas.openxmlformats.org/officeDocument/2006/relationships/hyperlink" Target="https://www.bia.gov/as-ia/opa/online-press-release/bia-issues-final-determination-recognition-chinook-indian" TargetMode="External"/><Relationship Id="rId29" Type="http://schemas.openxmlformats.org/officeDocument/2006/relationships/hyperlink" Target="https://www.bia.gov/as-ia/opa/online-press-release/final-determination-declines-chinook-recognition" TargetMode="External"/><Relationship Id="rId30" Type="http://schemas.openxmlformats.org/officeDocument/2006/relationships/hyperlink" Target="https://www.federalregister.gov/documents/2026/01/30/2026-01899/indian-entities-recognized-by-and-eligible-to-receive-services-from-the-united-states-bureau-of" TargetMode="External"/><Relationship Id="rId31" Type="http://schemas.openxmlformats.org/officeDocument/2006/relationships/hyperlink" Target="https://chinooknation.org/chinook-tribe-culture/" TargetMode="External"/><Relationship Id="rId32" Type="http://schemas.openxmlformats.org/officeDocument/2006/relationships/hyperlink" Target="https://chinookstory.org/lower-columbia-chinook-historical-timeline/" TargetMode="External"/><Relationship Id="rId33" Type="http://schemas.openxmlformats.org/officeDocument/2006/relationships/hyperlink" Target="https://www.oregonhistoryproject.org/articles/historical-records/chinookans-of-the-lower-columbia-river/" TargetMode="External"/><Relationship Id="rId34" Type="http://schemas.openxmlformats.org/officeDocument/2006/relationships/hyperlink" Target="https://chinooknation.org/contemporary-chinookan-art/" TargetMode="External"/><Relationship Id="rId35" Type="http://schemas.openxmlformats.org/officeDocument/2006/relationships/hyperlink" Target="https://www.nps.gov/places/tansy-point.htm" TargetMode="External"/><Relationship Id="rId36" Type="http://schemas.openxmlformats.org/officeDocument/2006/relationships/hyperlink" Target="https://chinookstory.org/treaty-of-chehal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Chinook Culture History and Timeline</dc:title>
  <dc:subject>Chinook culture history and chronology with institutional and tribal sources</dc:subject>
  <dc:creator/>
  <cp:keywords>Chinook, Chinookan, Columbia River, culture, history, timeline</cp:keywords>
  <dc:description>generated by python-docx</dc:description>
  <cp:lastModifiedBy/>
  <cp:revision>1</cp:revision>
  <dcterms:created xsi:type="dcterms:W3CDTF">2013-12-23T23:15:00Z</dcterms:created>
  <dcterms:modified xsi:type="dcterms:W3CDTF">2013-12-23T23:15:00Z</dcterms:modified>
  <cp:category/>
</cp:coreProperties>
</file>