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Huetar People of Costa Rica</w:t>
      </w:r>
    </w:p>
    <w:p>
      <w:pPr>
        <w:pStyle w:val="Subtitle"/>
      </w:pPr>
      <w:r>
        <w:t>Culture History and Timeline</w:t>
      </w:r>
    </w:p>
    <w:p>
      <w:r>
        <w:t>The Huetar are an Indigenous people of central Costa Rica in Central America. Their ancestors lived across much of the Central Valley and neighboring regions when Spanish forces expanded into the interior during the sixteenth century. Huetar communities continue today, especially in Quitirrisí and Zapatón. Their history includes resistance to conquest and efforts to pass cultural knowledge to younger generations. [5, 7, 13]</w:t>
      </w:r>
    </w:p>
    <w:p>
      <w:r>
        <w:t>The loss of the Huetar language did not end the Huetar people. Research in Quitirrisí documents a strong sense of community identity grounded in ancestry, place and inherited traditions. This distinction matters when reading older accounts that describe Indigenous culture mainly in terms of what disappeared. [12]</w:t>
      </w:r>
    </w:p>
    <w:p>
      <w:pPr>
        <w:pStyle w:val="Heading1"/>
      </w:pPr>
      <w:r>
        <w:t>Homeland and communities</w:t>
      </w:r>
    </w:p>
    <w:p>
      <w:r>
        <w:t>The historic Huetar homeland included the Central Valley and areas around the Virilla and Grande de Tárcoles rivers, extending toward the Pacific coast. Linguistic and historical evidence also links Huetar speech with areas farther east. These were regions of contact and movement, so the edges of a cultural area should not be treated as fixed national borders. [1, 5]</w:t>
      </w:r>
    </w:p>
    <w:p>
      <w:r>
        <w:t>The two recognized Huetar Indigenous territories are Quitirrisí in the canton of Mora and Zapatón in the canton of Puriscal. Both are in San José Province. A canton is a local administrative division. Huetar families also live outside these territories. [10, 11]</w:t>
      </w:r>
    </w:p>
    <w:p>
      <w:r>
        <w:t>Costa Rica’s 2011 census recorded 3,461 people who identified as Huetar nationwide. Of these, 1,354 lived in the two Huetar territories, about 39 percent of the total. These are dated census figures, not a population estimate for 2026. They show why the people cannot be counted only by looking at the two territories. [9]</w:t>
      </w:r>
    </w:p>
    <w:p>
      <w:pPr>
        <w:pStyle w:val="Heading1"/>
      </w:pPr>
      <w:r>
        <w:t>Society before Spanish rule</w:t>
      </w:r>
    </w:p>
    <w:p>
      <w:r>
        <w:t>Huetar communities formed chiefdoms, often called cacicazgos in Spanish. A cacique was a political leader. Larger leaders exercised authority over smaller communities, but the strength of these ties could change. Chiefs helped organize production, exchange and collective activity. Differences in rank shaped political and economic life. [4]</w:t>
      </w:r>
    </w:p>
    <w:p>
      <w:r>
        <w:t>Garabito ruled an important western domain. Guarco and his successor Correque were associated with a major eastern center. Pacaca was another significant chiefdom. The common division into eastern and western Huetar “kingdoms” is a broad outline. Other centers also had separate political relationships. The Huetar did not form one unified state. [2, 5]</w:t>
      </w:r>
    </w:p>
    <w:p>
      <w:r>
        <w:t>Archaeology provides evidence of skilled work in stone and clay. Decorated metates, or grinding stones, and pottery appear in the older societies of central Costa Rica. Some objects served purposes connected with rank or burial as well as practical work. Archaeological evidence and colonial records describe different parts of this long history and should be read together. [4]</w:t>
      </w:r>
    </w:p>
    <w:p>
      <w:pPr>
        <w:pStyle w:val="Heading1"/>
      </w:pPr>
      <w:r>
        <w:t>Food farming and skilled work</w:t>
      </w:r>
    </w:p>
    <w:p>
      <w:r>
        <w:t>Inherited farming practices included planting maize, beans and squash together. These crops helped one another: bean plants added nitrogen to the soil, while broad squash leaves shaded the ground. Farming required knowledge of local plants, soils and seasons. [3]</w:t>
      </w:r>
    </w:p>
    <w:p>
      <w:r>
        <w:t>The University of Costa Rica’s School of Nutrition describes living Huetar traditions within a wider regional food culture. Foods used in this region include maize, beans, squash, cassava and leafy plants. Knowledge of local ingredients and food preparation remains part of cultural life. Many foods are shared with neighboring communities, and contemporary cooking reflects both Indigenous inheritance and later changes. [8]</w:t>
      </w:r>
    </w:p>
    <w:p>
      <w:r>
        <w:t>Basketry is one of the clearest continuing Huetar crafts. Artisans work with plant fibers to make baskets, hats and other useful objects. Documented traditions also include natural dyes, clay vessels, gourd containers and cordage. Preparing the material is part of the skill: fibers must be selected and processed before they can be woven. Selling crafts also provides income for some families. [6, 7, 8]</w:t>
      </w:r>
    </w:p>
    <w:p>
      <w:pPr>
        <w:pStyle w:val="Heading1"/>
      </w:pPr>
      <w:r>
        <w:t>The Huetar language</w:t>
      </w:r>
    </w:p>
    <w:p>
      <w:r>
        <w:t>Huetar once served as a lingua franca, a language used between people from different communities. Its wide use reflected the political importance and connections of Huetar societies. University linguistic research places its disappearance as an everyday spoken language around the end of the eighteenth century, although fragments may have remained later. An exact date for the last speaker is not established. [1]</w:t>
      </w:r>
    </w:p>
    <w:p>
      <w:r>
        <w:t>Researchers preserve evidence from names, colonial records and words that survived in Costa Rican Spanish. The language is usually discussed in relation to the Chibchan family, but its precise classification remains uncertain because the surviving evidence is limited. Scholars cannot recover a complete language simply from a list of place names and isolated words. [1, 5]</w:t>
      </w:r>
    </w:p>
    <w:p>
      <w:r>
        <w:t>Linguist Adolfo Constenla Umaña also stressed a major problem: colonial grammars and religious texts reported to have existed had not been located. His 1984 study shows why claims about Huetar grammar and word origins need careful checking. A surviving name may identify a person or place without preserving its original meaning. [5]</w:t>
      </w:r>
    </w:p>
    <w:p>
      <w:pPr>
        <w:pStyle w:val="Heading1"/>
      </w:pPr>
      <w:r>
        <w:t>Spanish conquest and colonial change</w:t>
      </w:r>
    </w:p>
    <w:p>
      <w:r>
        <w:t>In 1561 Juan de Cavallón’s expedition entered the Central Valley. Juan Vázquez de Coronado followed as a leading Spanish official in 1562. Garabito resisted Spanish demands and remained a major obstacle to Spanish control. [2]</w:t>
      </w:r>
    </w:p>
    <w:p>
      <w:r>
        <w:t>The conquest brought violence, epidemic disease and demands for Indigenous labor. It also weakened communities’ control over food production and land. Displacement broke connections among families and settlements. These pressures help explain the long process through which Spanish became dominant and many older institutions changed. [7]</w:t>
      </w:r>
    </w:p>
    <w:p>
      <w:r>
        <w:t>In 1569 Governor Perafán de Ribera distributed Indigenous tributaries through the encomienda system. Holders received claims to tribute from assigned Indigenous communities. Colonists also extracted personal labor even when such demands violated legal restrictions. [2]</w:t>
      </w:r>
    </w:p>
    <w:p>
      <w:r>
        <w:t>Colonial accounts preserve valuable evidence, but their authors’ aims shaped their descriptions. Historians compare these records with archaeology and later community testimony. The surviving documents also leave gaps, particularly concerning the Huetar language. [5]</w:t>
      </w:r>
    </w:p>
    <w:p>
      <w:pPr>
        <w:pStyle w:val="Heading1"/>
      </w:pPr>
      <w:r>
        <w:t>Land and migration in the twentieth century</w:t>
      </w:r>
    </w:p>
    <w:p>
      <w:r>
        <w:t>Historian Orlando Amaris Cervantes studied Huetar migration between 1900 and 1955 through historical evidence and oral accounts. Some families moved from Mora toward southern Puriscal, including Zapatón and Mastatal. [3]</w:t>
      </w:r>
    </w:p>
    <w:p>
      <w:r>
        <w:t>He distinguishes the wider spread of coffee in the Central Valley from the stronger local expansion of cattle pasture in Mora. Pasture reduced land available for food crops and for resting exhausted soils. Repeated cultivation on the remaining land made farming harder. Families sought better land elsewhere because their ability to support themselves was under pressure. [3]</w:t>
      </w:r>
    </w:p>
    <w:p>
      <w:pPr>
        <w:pStyle w:val="Heading1"/>
      </w:pPr>
      <w:r>
        <w:t>Beliefs memory and identity</w:t>
      </w:r>
    </w:p>
    <w:p>
      <w:r>
        <w:t>Community accounts recorded for Costa Rica’s Ministry of Public Education describe respect for forests, rivers and places associated with spiritual stories. They also describe Catholic worship and funeral practices. Inherited ideas and Christianity could exist within the same community, although beliefs varied among individuals. [7]</w:t>
      </w:r>
    </w:p>
    <w:p>
      <w:r>
        <w:t>Elders’ stories preserve community memory. Their meanings can change as families pass them down, so a modern telling does not establish the exact form of a ceremony before Spanish contact. [7]</w:t>
      </w:r>
    </w:p>
    <w:p>
      <w:r>
        <w:t>A 2008 study by Marjorie Moreno Salas surveyed 90 people in Quitirrisí and found a high level of ethnic identity. Ancestral traditions and residence in the community helped sustain belonging. This was a study of one community and sample, not a survey of every Huetar person. It nevertheless gives direct evidence that Huetar identity continued despite language loss. [12]</w:t>
      </w:r>
    </w:p>
    <w:p>
      <w:r>
        <w:t>Anthropologist Raquel Ornat Clemente studied changes in Quitirrisí’s identity over time. Her work describes people adapting their cultural life under changing social and political conditions. Cultural change alone does not establish whether a community remains Indigenous. [4]</w:t>
      </w:r>
    </w:p>
    <w:p>
      <w:pPr>
        <w:pStyle w:val="Heading1"/>
      </w:pPr>
      <w:r>
        <w:t>Territorial rights and continuing cultural work</w:t>
      </w:r>
    </w:p>
    <w:p>
      <w:r>
        <w:t>Quitirrisí received legal recognition in 1976. Later measures defined and revised its boundaries. A 2001 decree acknowledged that earlier delimitation had not adequately reflected the community’s cultural and economic life. This is evidence that recognizing a territory and defining an adequate territory are separate tasks. [10]</w:t>
      </w:r>
    </w:p>
    <w:p>
      <w:r>
        <w:t>Zapatón was declared an Indigenous settlement in 1981 and an Indigenous reserve in 1982. A 1988 opinion from Costa Rica’s Attorney General’s Office affirmed that it had reserve status and fell under the Indigenous Law. These measures recognized an existing people and community. [11]</w:t>
      </w:r>
    </w:p>
    <w:p>
      <w:r>
        <w:t>Legal recognition did not settle control of land. Research published in 2016 documented unequal access to land within Huetar territories and pressure to seek employment elsewhere. It linked these problems with the difficulty of maintaining farming and other activities. The figures in that research describe earlier conditions and should not be read as a new land survey. [9]</w:t>
      </w:r>
    </w:p>
    <w:p>
      <w:r>
        <w:t>Cultural work continues through teaching and community projects. The University of Costa Rica’s Quizarco project, listed for 2023 to 2026, addressed how schools in Quitirrisí and Zapatón could teach Huetar culture through local experience. Its description records a concern from community leaders that a general national curriculum needed to reflect each territory’s life. [13]</w:t>
      </w:r>
    </w:p>
    <w:p>
      <w:r>
        <w:t>In 2024 the University for Peace announced a book project presenting Quitirrisí elders’ knowledge in their own words. The project began after elders asked to preserve their stories in 2022. Its announced title was Conocimientos de la Cultura Huetar de Quitirrisí. This work places community members in the role of authors and teachers of their own history. [14]</w:t>
      </w:r>
    </w:p>
    <w:p>
      <w:r>
        <w:br w:type="page"/>
      </w:r>
    </w:p>
    <w:p>
      <w:pPr>
        <w:pStyle w:val="Heading1"/>
      </w:pPr>
      <w:r>
        <w:t>Timeline</w:t>
      </w:r>
    </w:p>
    <w:p>
      <w:r>
        <w:t>The early dates concern the societies and events described in surviving records. They do not mark a single founding date for the Huetar people.</w:t>
      </w:r>
    </w:p>
    <w:tbl>
      <w:tblPr>
        <w:tblW w:type="auto" w:w="0"/>
        <w:jc w:val="center"/>
        <w:tblLayout w:type="fixed"/>
        <w:tblLook w:firstColumn="1" w:firstRow="1" w:lastColumn="0" w:lastRow="0" w:noHBand="0" w:noVBand="1" w:val="04A0"/>
      </w:tblPr>
      <w:tblGrid>
        <w:gridCol w:w="1800"/>
        <w:gridCol w:w="7992"/>
      </w:tblGrid>
      <w:tr>
        <w:trPr>
          <w:cantSplit/>
          <w:tblHeader/>
        </w:trPr>
        <w:tc>
          <w:tcPr>
            <w:tcW w:type="dxa" w:w="4896"/>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E6E6E6"/>
          </w:tcPr>
          <w:p>
            <w:pPr>
              <w:spacing w:after="0" w:line="252" w:lineRule="auto"/>
              <w:jc w:val="center"/>
            </w:pPr>
            <w:r>
              <w:rPr>
                <w:b/>
                <w:color w:val="000000"/>
                <w:sz w:val="21"/>
              </w:rPr>
              <w:t>Period</w:t>
            </w:r>
          </w:p>
        </w:tc>
        <w:tc>
          <w:tcPr>
            <w:tcW w:type="dxa" w:w="4896"/>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E6E6E6"/>
          </w:tcPr>
          <w:p>
            <w:pPr>
              <w:spacing w:after="0" w:line="252" w:lineRule="auto"/>
            </w:pPr>
            <w:r>
              <w:rPr>
                <w:b/>
                <w:color w:val="000000"/>
                <w:sz w:val="21"/>
              </w:rPr>
              <w:t>Event</w:t>
            </w:r>
          </w:p>
        </w:tc>
      </w:tr>
      <w:tr>
        <w:trPr>
          <w:cantSplit/>
        </w:trPr>
        <w:tc>
          <w:tcPr>
            <w:tcW w:type="dxa" w:w="1800"/>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tcPr>
          <w:p>
            <w:pPr>
              <w:spacing w:after="0" w:line="252" w:lineRule="auto"/>
              <w:jc w:val="center"/>
            </w:pPr>
            <w:r>
              <w:rPr>
                <w:b w:val="0"/>
                <w:color w:val="000000"/>
                <w:sz w:val="21"/>
              </w:rPr>
              <w:t>Before Spanish rule</w:t>
            </w:r>
          </w:p>
        </w:tc>
        <w:tc>
          <w:tcPr>
            <w:tcW w:type="dxa" w:w="7992"/>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tcPr>
          <w:p>
            <w:pPr>
              <w:spacing w:after="0" w:line="252" w:lineRule="auto"/>
            </w:pPr>
            <w:r>
              <w:rPr>
                <w:b w:val="0"/>
                <w:color w:val="000000"/>
                <w:sz w:val="21"/>
              </w:rPr>
              <w:t>Huetar communities occupy much of central Costa Rica and participate in regional systems of farming, exchange and chiefly authority. [5, 6]</w:t>
            </w:r>
          </w:p>
        </w:tc>
      </w:tr>
      <w:tr>
        <w:trPr>
          <w:cantSplit/>
        </w:trPr>
        <w:tc>
          <w:tcPr>
            <w:tcW w:type="dxa" w:w="1800"/>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F6F6F6"/>
          </w:tcPr>
          <w:p>
            <w:pPr>
              <w:spacing w:after="0" w:line="252" w:lineRule="auto"/>
              <w:jc w:val="center"/>
            </w:pPr>
            <w:r>
              <w:rPr>
                <w:b w:val="0"/>
                <w:color w:val="000000"/>
                <w:sz w:val="21"/>
              </w:rPr>
              <w:t>1561 to 1564</w:t>
            </w:r>
          </w:p>
        </w:tc>
        <w:tc>
          <w:tcPr>
            <w:tcW w:type="dxa" w:w="7992"/>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F6F6F6"/>
          </w:tcPr>
          <w:p>
            <w:pPr>
              <w:spacing w:after="0" w:line="252" w:lineRule="auto"/>
            </w:pPr>
            <w:r>
              <w:rPr>
                <w:b w:val="0"/>
                <w:color w:val="000000"/>
                <w:sz w:val="21"/>
              </w:rPr>
              <w:t>Spanish expansion into the Central Valley intensifies under Cavallón and Vázquez de Coronado. Garabito resists Spanish control. [2]</w:t>
            </w:r>
          </w:p>
        </w:tc>
      </w:tr>
      <w:tr>
        <w:trPr>
          <w:cantSplit/>
        </w:trPr>
        <w:tc>
          <w:tcPr>
            <w:tcW w:type="dxa" w:w="1800"/>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tcPr>
          <w:p>
            <w:pPr>
              <w:spacing w:after="0" w:line="252" w:lineRule="auto"/>
              <w:jc w:val="center"/>
            </w:pPr>
            <w:r>
              <w:rPr>
                <w:b w:val="0"/>
                <w:color w:val="000000"/>
                <w:sz w:val="21"/>
              </w:rPr>
              <w:t>1569</w:t>
            </w:r>
          </w:p>
        </w:tc>
        <w:tc>
          <w:tcPr>
            <w:tcW w:type="dxa" w:w="7992"/>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tcPr>
          <w:p>
            <w:pPr>
              <w:spacing w:after="0" w:line="252" w:lineRule="auto"/>
            </w:pPr>
            <w:r>
              <w:rPr>
                <w:b w:val="0"/>
                <w:color w:val="000000"/>
                <w:sz w:val="21"/>
              </w:rPr>
              <w:t>Perafán de Ribera distributes Indigenous tributaries through encomiendas. [2]</w:t>
            </w:r>
          </w:p>
        </w:tc>
      </w:tr>
      <w:tr>
        <w:trPr>
          <w:cantSplit/>
        </w:trPr>
        <w:tc>
          <w:tcPr>
            <w:tcW w:type="dxa" w:w="1800"/>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F6F6F6"/>
          </w:tcPr>
          <w:p>
            <w:pPr>
              <w:spacing w:after="0" w:line="252" w:lineRule="auto"/>
              <w:jc w:val="center"/>
            </w:pPr>
            <w:r>
              <w:rPr>
                <w:b w:val="0"/>
                <w:color w:val="000000"/>
                <w:sz w:val="21"/>
              </w:rPr>
              <w:t>Late 1700s</w:t>
            </w:r>
          </w:p>
        </w:tc>
        <w:tc>
          <w:tcPr>
            <w:tcW w:type="dxa" w:w="7992"/>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F6F6F6"/>
          </w:tcPr>
          <w:p>
            <w:pPr>
              <w:spacing w:after="0" w:line="252" w:lineRule="auto"/>
            </w:pPr>
            <w:r>
              <w:rPr>
                <w:b w:val="0"/>
                <w:color w:val="000000"/>
                <w:sz w:val="21"/>
              </w:rPr>
              <w:t>Huetar is generally considered to have ceased being an everyday spoken language by this period. [1, 5]</w:t>
            </w:r>
          </w:p>
        </w:tc>
      </w:tr>
      <w:tr>
        <w:trPr>
          <w:cantSplit/>
        </w:trPr>
        <w:tc>
          <w:tcPr>
            <w:tcW w:type="dxa" w:w="1800"/>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tcPr>
          <w:p>
            <w:pPr>
              <w:spacing w:after="0" w:line="252" w:lineRule="auto"/>
              <w:jc w:val="center"/>
            </w:pPr>
            <w:r>
              <w:rPr>
                <w:b w:val="0"/>
                <w:color w:val="000000"/>
                <w:sz w:val="21"/>
              </w:rPr>
              <w:t>1900 to 1955</w:t>
            </w:r>
          </w:p>
        </w:tc>
        <w:tc>
          <w:tcPr>
            <w:tcW w:type="dxa" w:w="7992"/>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tcPr>
          <w:p>
            <w:pPr>
              <w:spacing w:after="0" w:line="252" w:lineRule="auto"/>
            </w:pPr>
            <w:r>
              <w:rPr>
                <w:b w:val="0"/>
                <w:color w:val="000000"/>
                <w:sz w:val="21"/>
              </w:rPr>
              <w:t>Land pressure and agricultural change contribute to migration from Mora toward southern Puriscal and other areas. [3]</w:t>
            </w:r>
          </w:p>
        </w:tc>
      </w:tr>
      <w:tr>
        <w:trPr>
          <w:cantSplit/>
        </w:trPr>
        <w:tc>
          <w:tcPr>
            <w:tcW w:type="dxa" w:w="1800"/>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F6F6F6"/>
          </w:tcPr>
          <w:p>
            <w:pPr>
              <w:spacing w:after="0" w:line="252" w:lineRule="auto"/>
              <w:jc w:val="center"/>
            </w:pPr>
            <w:r>
              <w:rPr>
                <w:b w:val="0"/>
                <w:color w:val="000000"/>
                <w:sz w:val="21"/>
              </w:rPr>
              <w:t>1976</w:t>
            </w:r>
          </w:p>
        </w:tc>
        <w:tc>
          <w:tcPr>
            <w:tcW w:type="dxa" w:w="7992"/>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F6F6F6"/>
          </w:tcPr>
          <w:p>
            <w:pPr>
              <w:spacing w:after="0" w:line="252" w:lineRule="auto"/>
            </w:pPr>
            <w:r>
              <w:rPr>
                <w:b w:val="0"/>
                <w:color w:val="000000"/>
                <w:sz w:val="21"/>
              </w:rPr>
              <w:t>Costa Rica recognizes the Huetar territory of Quitirrisí. [10]</w:t>
            </w:r>
          </w:p>
        </w:tc>
      </w:tr>
      <w:tr>
        <w:trPr>
          <w:cantSplit/>
        </w:trPr>
        <w:tc>
          <w:tcPr>
            <w:tcW w:type="dxa" w:w="1800"/>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tcPr>
          <w:p>
            <w:pPr>
              <w:spacing w:after="0" w:line="252" w:lineRule="auto"/>
              <w:jc w:val="center"/>
            </w:pPr>
            <w:r>
              <w:rPr>
                <w:b w:val="0"/>
                <w:color w:val="000000"/>
                <w:sz w:val="21"/>
              </w:rPr>
              <w:t>1981 and 1982</w:t>
            </w:r>
          </w:p>
        </w:tc>
        <w:tc>
          <w:tcPr>
            <w:tcW w:type="dxa" w:w="7992"/>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tcPr>
          <w:p>
            <w:pPr>
              <w:spacing w:after="0" w:line="252" w:lineRule="auto"/>
            </w:pPr>
            <w:r>
              <w:rPr>
                <w:b w:val="0"/>
                <w:color w:val="000000"/>
                <w:sz w:val="21"/>
              </w:rPr>
              <w:t>Zapatón is recognized first as an Indigenous settlement and then as an Indigenous reserve. [11]</w:t>
            </w:r>
          </w:p>
        </w:tc>
      </w:tr>
      <w:tr>
        <w:trPr>
          <w:cantSplit/>
        </w:trPr>
        <w:tc>
          <w:tcPr>
            <w:tcW w:type="dxa" w:w="1800"/>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F6F6F6"/>
          </w:tcPr>
          <w:p>
            <w:pPr>
              <w:spacing w:after="0" w:line="252" w:lineRule="auto"/>
              <w:jc w:val="center"/>
            </w:pPr>
            <w:r>
              <w:rPr>
                <w:b w:val="0"/>
                <w:color w:val="000000"/>
                <w:sz w:val="21"/>
              </w:rPr>
              <w:t>2011</w:t>
            </w:r>
          </w:p>
        </w:tc>
        <w:tc>
          <w:tcPr>
            <w:tcW w:type="dxa" w:w="7992"/>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F6F6F6"/>
          </w:tcPr>
          <w:p>
            <w:pPr>
              <w:spacing w:after="0" w:line="252" w:lineRule="auto"/>
            </w:pPr>
            <w:r>
              <w:rPr>
                <w:b w:val="0"/>
                <w:color w:val="000000"/>
                <w:sz w:val="21"/>
              </w:rPr>
              <w:t>The census records 3,461 people identifying as Huetar across Costa Rica. [9]</w:t>
            </w:r>
          </w:p>
        </w:tc>
      </w:tr>
      <w:tr>
        <w:trPr>
          <w:cantSplit/>
        </w:trPr>
        <w:tc>
          <w:tcPr>
            <w:tcW w:type="dxa" w:w="1800"/>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tcPr>
          <w:p>
            <w:pPr>
              <w:spacing w:after="0" w:line="252" w:lineRule="auto"/>
              <w:jc w:val="center"/>
            </w:pPr>
            <w:r>
              <w:rPr>
                <w:b w:val="0"/>
                <w:color w:val="000000"/>
                <w:sz w:val="21"/>
              </w:rPr>
              <w:t>2023 to 2026</w:t>
            </w:r>
          </w:p>
        </w:tc>
        <w:tc>
          <w:tcPr>
            <w:tcW w:type="dxa" w:w="7992"/>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tcPr>
          <w:p>
            <w:pPr>
              <w:spacing w:after="0" w:line="252" w:lineRule="auto"/>
            </w:pPr>
            <w:r>
              <w:rPr>
                <w:b w:val="0"/>
                <w:color w:val="000000"/>
                <w:sz w:val="21"/>
              </w:rPr>
              <w:t>The UCR Quizarco project addresses locally grounded Huetar cultural education. [13]</w:t>
            </w:r>
          </w:p>
        </w:tc>
      </w:tr>
      <w:tr>
        <w:trPr>
          <w:cantSplit/>
        </w:trPr>
        <w:tc>
          <w:tcPr>
            <w:tcW w:type="dxa" w:w="1800"/>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F6F6F6"/>
          </w:tcPr>
          <w:p>
            <w:pPr>
              <w:spacing w:after="0" w:line="252" w:lineRule="auto"/>
              <w:jc w:val="center"/>
            </w:pPr>
            <w:r>
              <w:rPr>
                <w:b w:val="0"/>
                <w:color w:val="000000"/>
                <w:sz w:val="21"/>
              </w:rPr>
              <w:t>2024</w:t>
            </w:r>
          </w:p>
        </w:tc>
        <w:tc>
          <w:tcPr>
            <w:tcW w:type="dxa" w:w="7992"/>
            <w:vAlign w:val="center"/>
            <w:tcBorders>
              <w:top w:val="single" w:sz="5" w:color="D9D9D9"/>
              <w:left w:val="single" w:sz="5" w:color="D9D9D9"/>
              <w:bottom w:val="single" w:sz="5" w:color="D9D9D9"/>
              <w:right w:val="single" w:sz="5" w:color="D9D9D9"/>
            </w:tcBorders>
            <w:tcMar>
              <w:top w:w="90" w:type="dxa"/>
              <w:bottom w:w="90" w:type="dxa"/>
              <w:left w:w="110" w:type="dxa"/>
              <w:right w:w="110" w:type="dxa"/>
            </w:tcMar>
            <w:shd w:fill="F6F6F6"/>
          </w:tcPr>
          <w:p>
            <w:pPr>
              <w:spacing w:after="0" w:line="252" w:lineRule="auto"/>
            </w:pPr>
            <w:r>
              <w:rPr>
                <w:b w:val="0"/>
                <w:color w:val="000000"/>
                <w:sz w:val="21"/>
              </w:rPr>
              <w:t>The University for Peace announces an elders’ publication project about Quitirrisí’s knowledge and traditions. [14]</w:t>
            </w:r>
          </w:p>
        </w:tc>
      </w:tr>
    </w:tbl>
    <w:p>
      <w:r>
        <w:br w:type="page"/>
      </w:r>
    </w:p>
    <w:p>
      <w:pPr>
        <w:pStyle w:val="Heading1"/>
      </w:pPr>
      <w:r>
        <w:t>Sources and working URLs</w:t>
      </w:r>
    </w:p>
    <w:p>
      <w:r>
        <w:t>Bracketed numbers in the study refer to the sources below. Spanish titles are retained so the original publications are easy to identify. Journal articles supply scholarly interpretation; legal records document official decisions; community interviews and university project pages document cultural knowledge and public initiatives.</w:t>
      </w:r>
    </w:p>
    <w:p>
      <w:pPr>
        <w:keepNext/>
        <w:spacing w:before="80" w:after="40"/>
      </w:pPr>
      <w:r>
        <w:rPr>
          <w:sz w:val="21"/>
        </w:rPr>
        <w:t>[1] Carlos Sánchez Avendaño. Huetar. University of Costa Rica, Dipalicori, updated 2020. Linguistic overview.</w:t>
      </w:r>
    </w:p>
    <w:p>
      <w:pPr>
        <w:spacing w:after="160"/>
      </w:pPr>
      <w:hyperlink r:id="rId9">
        <w:r>
          <w:rPr>
            <w:color w:val="174A70"/>
            <w:sz w:val="20"/>
          </w:rPr>
          <w:t>https://dipalicori.ucr.ac.cr/lengua-cultura/huetar/</w:t>
        </w:r>
      </w:hyperlink>
    </w:p>
    <w:p>
      <w:pPr>
        <w:keepNext/>
        <w:spacing w:before="80" w:after="40"/>
      </w:pPr>
      <w:r>
        <w:rPr>
          <w:sz w:val="21"/>
        </w:rPr>
        <w:t>[2] Jorge Francisco Sáenz Carbonell. El rey Garabito defensor de la libertad. 2016. Historical study drawing on colonial documents.</w:t>
      </w:r>
    </w:p>
    <w:p>
      <w:pPr>
        <w:spacing w:after="160"/>
      </w:pPr>
      <w:hyperlink r:id="rId10">
        <w:r>
          <w:rPr>
            <w:color w:val="174A70"/>
            <w:sz w:val="20"/>
          </w:rPr>
          <w:t>https://rree.go.cr/files/includes/files.php?id=934&amp;tipo=documentos</w:t>
        </w:r>
      </w:hyperlink>
    </w:p>
    <w:p>
      <w:pPr>
        <w:keepNext/>
        <w:spacing w:before="80" w:after="40"/>
      </w:pPr>
      <w:r>
        <w:rPr>
          <w:sz w:val="21"/>
        </w:rPr>
        <w:t>[3] Orlando Amaris Cervantes. Transformación agroecológica en el cantón de Mora en Costa Rica y emigración indígena huetar (1900-1955). Revista de Historia 74, 2016, pages 115 to 144. Scholarly article with oral history.</w:t>
      </w:r>
    </w:p>
    <w:p>
      <w:pPr>
        <w:spacing w:after="160"/>
      </w:pPr>
      <w:hyperlink r:id="rId11">
        <w:r>
          <w:rPr>
            <w:color w:val="174A70"/>
            <w:sz w:val="20"/>
          </w:rPr>
          <w:t>https://portal.amelica.org/ameli/journal/299/2993454006/movil/</w:t>
        </w:r>
      </w:hyperlink>
    </w:p>
    <w:p>
      <w:pPr>
        <w:keepNext/>
        <w:spacing w:before="80" w:after="40"/>
      </w:pPr>
      <w:r>
        <w:rPr>
          <w:sz w:val="21"/>
        </w:rPr>
        <w:t>[4] Raquel Ornat Clemente. Historia e identidad: un análisis del caso del actual Quitirrisí, Costa Rica. Salduie 3, 2003, pages 269 to 297. Scholarly historical and anthropological study.</w:t>
      </w:r>
    </w:p>
    <w:p>
      <w:pPr>
        <w:spacing w:after="160"/>
      </w:pPr>
      <w:hyperlink r:id="rId12">
        <w:r>
          <w:rPr>
            <w:color w:val="174A70"/>
            <w:sz w:val="20"/>
          </w:rPr>
          <w:t>https://dialnet.unirioja.es/descarga/articulo/821182.pdf</w:t>
        </w:r>
      </w:hyperlink>
    </w:p>
    <w:p>
      <w:pPr>
        <w:keepNext/>
        <w:spacing w:before="80" w:after="40"/>
      </w:pPr>
      <w:r>
        <w:rPr>
          <w:sz w:val="21"/>
        </w:rPr>
        <w:t>[5] Adolfo Constenla Umaña. El huetar: observaciones sobre los materiales disponibles para su estudio y sobre las hipótesis en torno a sus afinidades lingüísticas. Revista de Filología y Lingüística 10 issue 2, 1984, pages 3 to 18. Scholarly linguistic study.</w:t>
      </w:r>
    </w:p>
    <w:p>
      <w:pPr>
        <w:spacing w:after="160"/>
      </w:pPr>
      <w:hyperlink r:id="rId13">
        <w:r>
          <w:rPr>
            <w:color w:val="174A70"/>
            <w:sz w:val="20"/>
          </w:rPr>
          <w:t>https://kerwa.ucr.ac.cr/items/ba1e1d74-88de-44e8-8fd4-2b654ef55df8</w:t>
        </w:r>
      </w:hyperlink>
    </w:p>
    <w:p>
      <w:pPr>
        <w:keepNext/>
        <w:spacing w:before="80" w:after="40"/>
      </w:pPr>
      <w:r>
        <w:rPr>
          <w:sz w:val="21"/>
        </w:rPr>
        <w:t>[6] José Víctor Estrada Torres. Cosmovisión y cosmogonía de los pueblos indígenas costarricenses. Ministry of Public Education, 2012. Institutional cultural study; Huetar craft traditions are discussed on PDF page 36.</w:t>
      </w:r>
    </w:p>
    <w:p>
      <w:pPr>
        <w:spacing w:after="160"/>
      </w:pPr>
      <w:hyperlink r:id="rId14">
        <w:r>
          <w:rPr>
            <w:color w:val="174A70"/>
            <w:sz w:val="20"/>
          </w:rPr>
          <w:t>https://recursos.mep.go.cr/portal_espanol/data/textos/modulo_indigena.pdf</w:t>
        </w:r>
      </w:hyperlink>
    </w:p>
    <w:p>
      <w:pPr>
        <w:keepNext/>
        <w:spacing w:before="80" w:after="40"/>
      </w:pPr>
      <w:r>
        <w:rPr>
          <w:sz w:val="21"/>
        </w:rPr>
        <w:t>[7] Ministry of Public Education. Los Huetares del Centro de Costa Rica. Minienciclopedia de los Territorios Indígenas de Costa Rica, volume 7, n.d. Institutional study incorporating community interviews from 2013.</w:t>
      </w:r>
    </w:p>
    <w:p>
      <w:pPr>
        <w:spacing w:after="160"/>
      </w:pPr>
      <w:hyperlink r:id="rId15">
        <w:r>
          <w:rPr>
            <w:color w:val="174A70"/>
            <w:sz w:val="20"/>
          </w:rPr>
          <w:t>https://www.mep.go.cr/sites/default/files/media/tomo_7.pdf</w:t>
        </w:r>
      </w:hyperlink>
    </w:p>
    <w:p>
      <w:r>
        <w:br w:type="page"/>
      </w:r>
    </w:p>
    <w:p>
      <w:pPr>
        <w:keepNext/>
        <w:spacing w:before="80" w:after="40"/>
      </w:pPr>
      <w:r>
        <w:rPr>
          <w:sz w:val="21"/>
        </w:rPr>
        <w:t>[8] Patricia Sedó Masís. Un destino turístico que enlaza a cuatro cantones josefinos. University of Costa Rica School of Nutrition, 12 February 2023. Institutional account of regional food and cultural practices.</w:t>
      </w:r>
    </w:p>
    <w:p>
      <w:pPr>
        <w:spacing w:after="160"/>
      </w:pPr>
      <w:hyperlink r:id="rId16">
        <w:r>
          <w:rPr>
            <w:color w:val="174A70"/>
            <w:sz w:val="20"/>
          </w:rPr>
          <w:t>https://alimentacionycultura.ucr.ac.cr/index.php/2023/02/12/un-destino-turistico-que-enlaza-cuatro-cantones-de-san-jose/</w:t>
        </w:r>
      </w:hyperlink>
    </w:p>
    <w:p>
      <w:pPr>
        <w:keepNext/>
        <w:spacing w:before="80" w:after="40"/>
      </w:pPr>
      <w:r>
        <w:rPr>
          <w:sz w:val="21"/>
        </w:rPr>
        <w:t>[9] Orlando Amaris Cervantes. El pueblo Huetar y los indígenas sin pueblo: diferencias y similitudes en cuanto a residencia y ocupación en el censo del 2011 de Costa Rica. Reflexiones 95 issue 1, 2016, pages 33 to 49. Scholarly analysis of census and land data.</w:t>
      </w:r>
    </w:p>
    <w:p>
      <w:pPr>
        <w:spacing w:after="160"/>
      </w:pPr>
      <w:hyperlink r:id="rId17">
        <w:r>
          <w:rPr>
            <w:color w:val="174A70"/>
            <w:sz w:val="20"/>
          </w:rPr>
          <w:t>https://www.scielo.sa.cr/scielo.php?lng=en&amp;nrm=iso&amp;pid=S1659-28592016000100033&amp;script=sci_arttext</w:t>
        </w:r>
      </w:hyperlink>
    </w:p>
    <w:p>
      <w:pPr>
        <w:keepNext/>
        <w:spacing w:before="80" w:after="40"/>
      </w:pPr>
      <w:r>
        <w:rPr>
          <w:sz w:val="21"/>
        </w:rPr>
        <w:t>[10] Costa Rica. Executive Decree 29452 G, 2001. Primary legal record concerning the boundaries of Quitirrisí and earlier recognition.</w:t>
      </w:r>
    </w:p>
    <w:p>
      <w:pPr>
        <w:spacing w:after="160"/>
      </w:pPr>
      <w:hyperlink r:id="rId18">
        <w:r>
          <w:rPr>
            <w:color w:val="174A70"/>
            <w:sz w:val="20"/>
          </w:rPr>
          <w:t>https://pgrweb.go.cr/DOCS/NORMAS/1/VIGENTE/D/2000-2009/2000-2004/2001/B4E8/3DA1F.HTML</w:t>
        </w:r>
      </w:hyperlink>
    </w:p>
    <w:p>
      <w:pPr>
        <w:keepNext/>
        <w:spacing w:before="80" w:after="40"/>
      </w:pPr>
      <w:r>
        <w:rPr>
          <w:sz w:val="21"/>
        </w:rPr>
        <w:t>[11] José Joaquín Barahona V. Attorney General’s Office opinion C 037 88, 16 February 1988. Primary legal interpretation affirming Zapatón’s reserve status.</w:t>
      </w:r>
    </w:p>
    <w:p>
      <w:pPr>
        <w:spacing w:after="160"/>
      </w:pPr>
      <w:hyperlink r:id="rId19">
        <w:r>
          <w:rPr>
            <w:color w:val="174A70"/>
            <w:sz w:val="20"/>
          </w:rPr>
          <w:t>https://sinalevi.go.cr/ResultadosPronunciamiento/Informacion?param1=3297&amp;param2=0</w:t>
        </w:r>
      </w:hyperlink>
    </w:p>
    <w:p>
      <w:pPr>
        <w:keepNext/>
        <w:spacing w:before="80" w:after="40"/>
      </w:pPr>
      <w:r>
        <w:rPr>
          <w:sz w:val="21"/>
        </w:rPr>
        <w:t>[12] Marjorie Moreno Salas. Identidad étnica en indígenas huetares de Quitirrisí. Revista de Ciencias Sociales 122, 2008, pages 27 to 38. University repository record and abstract of a study surveying 90 participants.</w:t>
      </w:r>
    </w:p>
    <w:p>
      <w:pPr>
        <w:spacing w:after="160"/>
      </w:pPr>
      <w:hyperlink r:id="rId20">
        <w:r>
          <w:rPr>
            <w:color w:val="174A70"/>
            <w:sz w:val="20"/>
          </w:rPr>
          <w:t>https://repositorio.ciicla.ucr.ac.cr/items/3449926f-95d3-40e2-a279-4e9221666385/full</w:t>
        </w:r>
      </w:hyperlink>
    </w:p>
    <w:p>
      <w:pPr>
        <w:keepNext/>
        <w:spacing w:before="80" w:after="40"/>
      </w:pPr>
      <w:r>
        <w:rPr>
          <w:sz w:val="21"/>
        </w:rPr>
        <w:t>[13] University of Costa Rica, CIDICER. Quizarco project on intercultural education in Quitirrisí and Zapatón. Project period 2023 to 2026. Institutional project description.</w:t>
      </w:r>
    </w:p>
    <w:p>
      <w:pPr>
        <w:spacing w:after="160"/>
      </w:pPr>
      <w:hyperlink r:id="rId21">
        <w:r>
          <w:rPr>
            <w:color w:val="174A70"/>
            <w:sz w:val="20"/>
          </w:rPr>
          <w:t>https://cidicer.ucr.ac.cr/proyecto/quizarco-practicas-educativas-contextualizadas-en-la-aplicacion-de-la-politica-de</w:t>
        </w:r>
      </w:hyperlink>
    </w:p>
    <w:p>
      <w:pPr>
        <w:keepNext/>
        <w:spacing w:before="80" w:after="40"/>
      </w:pPr>
      <w:r>
        <w:rPr>
          <w:sz w:val="21"/>
        </w:rPr>
        <w:t>[14] University for Peace. Huetar Elders to Launch a Book Aimed at Preserving Customs and Traditions of the Huetar Culture on the Upeace Campus. 15 February 2024. Primary institutional announcement.</w:t>
      </w:r>
    </w:p>
    <w:p>
      <w:pPr>
        <w:spacing w:after="160"/>
      </w:pPr>
      <w:hyperlink r:id="rId22">
        <w:r>
          <w:rPr>
            <w:color w:val="174A70"/>
            <w:sz w:val="20"/>
          </w:rPr>
          <w:t>https://upeace.org/huetar-elders-to-launch-a-book-aimed-at-preserving-customs-and-traditions-of-the-huetar-culture-on-the-upeace-campus/</w:t>
        </w:r>
      </w:hyperlink>
    </w:p>
    <w:sectPr w:rsidR="00FC693F" w:rsidRPr="0006063C" w:rsidSect="00034616">
      <w:pgSz w:w="12240" w:h="15840"/>
      <w:pgMar w:top="1123" w:right="1224" w:bottom="1123"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line="264" w:lineRule="auto" w:after="140"/>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0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ipalicori.ucr.ac.cr/lengua-cultura/huetar/" TargetMode="External"/><Relationship Id="rId10" Type="http://schemas.openxmlformats.org/officeDocument/2006/relationships/hyperlink" Target="https://rree.go.cr/files/includes/files.php?id=934&amp;tipo=documentos" TargetMode="External"/><Relationship Id="rId11" Type="http://schemas.openxmlformats.org/officeDocument/2006/relationships/hyperlink" Target="https://portal.amelica.org/ameli/journal/299/2993454006/movil/" TargetMode="External"/><Relationship Id="rId12" Type="http://schemas.openxmlformats.org/officeDocument/2006/relationships/hyperlink" Target="https://dialnet.unirioja.es/descarga/articulo/821182.pdf" TargetMode="External"/><Relationship Id="rId13" Type="http://schemas.openxmlformats.org/officeDocument/2006/relationships/hyperlink" Target="https://kerwa.ucr.ac.cr/items/ba1e1d74-88de-44e8-8fd4-2b654ef55df8" TargetMode="External"/><Relationship Id="rId14" Type="http://schemas.openxmlformats.org/officeDocument/2006/relationships/hyperlink" Target="https://recursos.mep.go.cr/portal_espanol/data/textos/modulo_indigena.pdf" TargetMode="External"/><Relationship Id="rId15" Type="http://schemas.openxmlformats.org/officeDocument/2006/relationships/hyperlink" Target="https://www.mep.go.cr/sites/default/files/media/tomo_7.pdf" TargetMode="External"/><Relationship Id="rId16" Type="http://schemas.openxmlformats.org/officeDocument/2006/relationships/hyperlink" Target="https://alimentacionycultura.ucr.ac.cr/index.php/2023/02/12/un-destino-turistico-que-enlaza-cuatro-cantones-de-san-jose/" TargetMode="External"/><Relationship Id="rId17" Type="http://schemas.openxmlformats.org/officeDocument/2006/relationships/hyperlink" Target="https://www.scielo.sa.cr/scielo.php?lng=en&amp;nrm=iso&amp;pid=S1659-28592016000100033&amp;script=sci_arttext" TargetMode="External"/><Relationship Id="rId18" Type="http://schemas.openxmlformats.org/officeDocument/2006/relationships/hyperlink" Target="https://pgrweb.go.cr/DOCS/NORMAS/1/VIGENTE/D/2000-2009/2000-2004/2001/B4E8/3DA1F.HTML" TargetMode="External"/><Relationship Id="rId19" Type="http://schemas.openxmlformats.org/officeDocument/2006/relationships/hyperlink" Target="https://sinalevi.go.cr/ResultadosPronunciamiento/Informacion?param1=3297&amp;param2=0" TargetMode="External"/><Relationship Id="rId20" Type="http://schemas.openxmlformats.org/officeDocument/2006/relationships/hyperlink" Target="https://repositorio.ciicla.ucr.ac.cr/items/3449926f-95d3-40e2-a279-4e9221666385/full" TargetMode="External"/><Relationship Id="rId21" Type="http://schemas.openxmlformats.org/officeDocument/2006/relationships/hyperlink" Target="https://cidicer.ucr.ac.cr/proyecto/quizarco-practicas-educativas-contextualizadas-en-la-aplicacion-de-la-politica-de" TargetMode="External"/><Relationship Id="rId22" Type="http://schemas.openxmlformats.org/officeDocument/2006/relationships/hyperlink" Target="https://upeace.org/huetar-elders-to-launch-a-book-aimed-at-preserving-customs-and-traditions-of-the-huetar-culture-on-the-upeace-camp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Huetar People of Costa Rica</dc:title>
  <dc:subject>Huetar culture history and timeline</dc:subject>
  <dc:creator/>
  <cp:keywords>Huetar, Costa Rica, Quitirrisí, Zapatón, Indigenous history</cp:keywords>
  <dc:description>generated by python-docx</dc:description>
  <cp:lastModifiedBy/>
  <cp:revision>1</cp:revision>
  <dcterms:created xsi:type="dcterms:W3CDTF">2013-12-23T23:15:00Z</dcterms:created>
  <dcterms:modified xsi:type="dcterms:W3CDTF">2013-12-23T23:15:00Z</dcterms:modified>
  <cp:category/>
</cp:coreProperties>
</file>