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Klamath and Salmon River War</w:t>
        <w:br/>
        <w:t>1855 to 1856</w:t>
      </w:r>
    </w:p>
    <w:p>
      <w:pPr>
        <w:pStyle w:val="Subtitle"/>
      </w:pPr>
      <w:r>
        <w:t>The Red Cap War and its aftermath in northwestern California</w:t>
      </w:r>
    </w:p>
    <w:p>
      <w:r>
        <w:t>The Klamath and Salmon River War, also called the Red Cap War, grew out of the California Gold Rush and the struggle over Native homelands in northwestern California. In 1855, miners tried to disarm local Native people. Some resisted, while others surrendered their weapons or sought protection. Volunteer forces attacked villages, Native fighters attacked miners and the U.S. Army intervened. The conflict ended with the defeat or surrender of much of the armed resistance and plans to concentrate Native people on a lower Klamath River reservation. [1; 2; 6]</w:t>
      </w:r>
    </w:p>
    <w:p>
      <w:r>
        <w:t>The main war occurred in 1855. Its effects continued through 1856 and much longer. This account covers the causes, the fighting, efforts to make peace and the reservation system that followed. It also explains why reports written by settlers and government officers require careful reading.</w:t>
      </w:r>
    </w:p>
    <w:p>
      <w:pPr>
        <w:pStyle w:val="Heading1"/>
      </w:pPr>
      <w:r>
        <w:t>The dates and the name of the war</w:t>
      </w:r>
    </w:p>
    <w:p>
      <w:r>
        <w:t>Many short timelines list the fighting as January through March 1855. Longer accounts show that the settlement took more time. Anthony Jennings Bledsoe describes an April council, continued military activity and an announcement that the war had ended by June 1. National Park Service historian Edwin C. Bearss, using government correspondence, places most Red Cap surrenders by mid-June. Early 1855 through June is therefore a useful range for the main conflict and its settlement. The year 1856 belongs chiefly to the aftermath. [1, pp. 72–77; 2, pp. 174–176]</w:t>
      </w:r>
    </w:p>
    <w:p>
      <w:r>
        <w:t>The word Klamath can cause confusion. This war took place along the Klamath River and its Salmon River tributary in California. It was centered in Yurok and Karuk country. It should be kept separate from the history of the Klamath people and their reservation in southern Oregon. The neighboring Rogue River wars also had their own course, even though unrest on one side of the California and Oregon border affected the other. [1, pp. 72–82; 11, p. 61]</w:t>
      </w:r>
    </w:p>
    <w:p>
      <w:pPr>
        <w:pStyle w:val="Heading1"/>
      </w:pPr>
      <w:r>
        <w:t>The rivers and the Native communities</w:t>
      </w:r>
    </w:p>
    <w:p>
      <w:r>
        <w:t>The lower Klamath was Yurok homeland, while Karuk communities lived farther upriver and along the middle river. The Salmon River enters the Klamath upstream from Weitchpec, where the Trinity River joins it. These connected waterways linked villages, fishing grounds and trading routes. Salmon provided an important food supply, and river travel by canoe connected communities in country where mountain trails were difficult. [1, pp. 77–78; 2, pp. 153–154]</w:t>
      </w:r>
    </w:p>
    <w:p>
      <w:r>
        <w:t>The Red Caps were a group of resistance fighters associated with more than one Native community. The name should not be treated as the name of a separate tribe or as a label for every Yurok or Karuk person. The Yurok Tribe's own history describes a mixed group whose resistance nearly stopped the settlement effort. Many other Native people sought peace, tried to remain in their villages or made agreements with Army officers. [9; 6]</w:t>
      </w:r>
    </w:p>
    <w:p>
      <w:r>
        <w:t>Local decisions mattered. Villages and families did not all follow one leader or one plan. Hupa communities in nearby Hoopa Valley also faced settler pressure. Scholarship describes some Hupa support for resistance, while older accounts record offers by other Native groups to help arrange surrender. These different responses show why a simple story of two united sides misses much of what happened. [2, pp. 172–174; 11, p. 74]</w:t>
      </w:r>
    </w:p>
    <w:p>
      <w:pPr>
        <w:pStyle w:val="Heading1"/>
      </w:pPr>
      <w:r>
        <w:t>How the Gold Rush changed the region</w:t>
      </w:r>
    </w:p>
    <w:p>
      <w:r>
        <w:t>The discovery of gold brought miners, merchants and pack trains into lands that Native people already used and governed. Early contact included trade and cooperation. Yurok people transported goods by canoe, and some settlers depended on that help. Relations worsened as newcomers occupied village sites and fishing places and treated Native land as open for their own use. The Yurok Tribe records village destruction and heavy losses from violence and disease during the broader Gold Rush era. Those losses should not all be counted as deaths in this one war. [7]</w:t>
      </w:r>
    </w:p>
    <w:p>
      <w:r>
        <w:t>Mining created a struggle over access. Miners needed river bars, trails and supplies. Native families needed the same river system for food and travel. A village beside the river could stand near a route that miners considered essential. When threats and killings disrupted those routes, traders and miners pressed officials to secure the country. The resulting military policy was closely tied to keeping the mining economy open. [1, pp. 73–75; 2, pp. 169–171]</w:t>
      </w:r>
    </w:p>
    <w:p>
      <w:pPr>
        <w:pStyle w:val="Heading1"/>
      </w:pPr>
      <w:r>
        <w:t>Failed treaties and unequal protection</w:t>
      </w:r>
    </w:p>
    <w:p>
      <w:r>
        <w:t>Federal agent Redick McKee negotiated with Native communities in 1851. Such agreements offered a way to reduce violence by defining land and promising protection. Settlers objected that the proposed reservations gave Native people too much useful land. The U.S. Senate rejected the eighteen California treaties in 1852, and the treaties remained secret for decades. The Yurok Tribe records that Native communities were not told of the rejection. Promised security therefore failed to become a reliable barrier against settlement. [3, pp. 23–24; 8]</w:t>
      </w:r>
    </w:p>
    <w:p>
      <w:r>
        <w:t>California law also placed Native people at a serious disadvantage. The 1850 Act for the Government and Protection of Indians allowed forms of compulsory labor and restricted Native testimony against white defendants. A 1855 amendment changed the witness rule in cases under that act, but wider exclusions remained a problem. The state also supported armed expeditions against Native people. These policies made it difficult for families to obtain protection when settlers harmed them. [3, pp. 5–8, 15–19]</w:t>
      </w:r>
    </w:p>
    <w:p>
      <w:r>
        <w:t>The failure of these protections helps explain why a demand to hand over weapons could seem dangerous. People who had seen attacks on villages had little reason to assume that disarmament would make them safe. That concern was later confirmed by an Army report describing threats against Native people who had already surrendered their arms. [6]</w:t>
      </w:r>
    </w:p>
    <w:p>
      <w:pPr>
        <w:pStyle w:val="Heading1"/>
      </w:pPr>
      <w:r>
        <w:t>The crisis in late 1854</w:t>
      </w:r>
    </w:p>
    <w:p>
      <w:r>
        <w:t>A contemporary newspaper offers an important account of the immediate dispute. On February 3, 1855, the Weekly Humboldt Times reported that around December 10 a white man had attempted a sexual assault on a Native woman and had fatally shot her Native companion. It said Native people then killed an ox formerly owned by the accused man. After learning that the animal had changed owners, they offered payment, which was refused. The paper linked this dispute to efforts to disarm Native people and to the burning of villages and winter food supplies. [5]</w:t>
      </w:r>
    </w:p>
    <w:p>
      <w:r>
        <w:t>This was a published allegation, not a court finding. The newspaper acknowledged that the accused man and his friends disputed its report and invited evidence against the charge. It also supported removal to reservations and further military pressure. Its account therefore exposes settler violence while still accepting coercion against Native communities as a solution. [5]</w:t>
      </w:r>
    </w:p>
    <w:p>
      <w:r>
        <w:t>Other violence was occurring near Crescent City, Smith River and Lake Earl, involving Tolowa and neighboring communities. These events helped spread fear through the region. They belong to the wider setting, but their casualties should not automatically be added to a total for the Klamath and Salmon River campaign. [1, pp. 70–72]</w:t>
      </w:r>
    </w:p>
    <w:p>
      <w:pPr>
        <w:pStyle w:val="Heading1"/>
      </w:pPr>
      <w:r>
        <w:t>The miners demand disarmament</w:t>
      </w:r>
    </w:p>
    <w:p>
      <w:r>
        <w:t>On January 6, 1855, settlers met at Orleans Bar. Their resolutions appeared in the Weekly Humboldt Times on January 13. They pledged to stop the sale, gift, loan or repair of firearms and the supply of ammunition to Native people. They threatened offenders with a shaved head, twenty-five lashes and expulsion from the river. They also claimed authority to seize and sell an offender's property when public officials were absent. [4]</w:t>
      </w:r>
    </w:p>
    <w:p>
      <w:r>
        <w:t>The published resolutions show settlers taking enforcement into their own hands. Bledsoe's later account describes a further demand that nearby Native people surrender weapons by January 19, with death threatened for those who continued to carry them. Some complied. Others, including Red Cap fighters, refused. [2, pp. 164–165]</w:t>
      </w:r>
    </w:p>
    <w:p>
      <w:r>
        <w:t>According to Bledsoe, a party of miners went to a Red Cap village on January 19 and demanded surrender. Defensive gunfire killed William Wheeler and Thomas O'Neil and wounded others. The miners retreated and requested help from Fort Humboldt. This encounter helped turn the dispute over weapons into a wider armed campaign. The date and names come from Bledsoe's later narrative and should be read with that limit in mind. [2, p. 165]</w:t>
      </w:r>
    </w:p>
    <w:p>
      <w:pPr>
        <w:pStyle w:val="Heading1"/>
      </w:pPr>
      <w:r>
        <w:t>The fighting spreads</w:t>
      </w:r>
    </w:p>
    <w:p>
      <w:r>
        <w:t>Army commander R. C. Buchanan sent Captain Henry M. Judah from Fort Humboldt. Volunteer companies also formed among settlers and miners. These forces did not share one steady command. Men argued over tactics, protection for peaceful villages and whether the state would pay their expenses. The term militia can hide these differences: local armed parties and federal regulars did not always act together or have the same aims. [2, pp. 166–174]</w:t>
      </w:r>
    </w:p>
    <w:p>
      <w:r>
        <w:t>Some miners wanted to attack Native communities regardless of whether they had taken part in the fighting. Others objected. Bledsoe records Salmon River miners resisting plans for a general massacre. Meanwhile, Red Cap fighters used the mountains as shelter, and attacks on miners and supply routes made ordinary work difficult. Burning villages could drive people who had sought peace into the hills and widen the resistance. [2, pp. 166–171]</w:t>
      </w:r>
    </w:p>
    <w:p>
      <w:r>
        <w:t>One major episode occurred in early February around villages called Cappell and Moreo in older records. Bledsoe describes an encounter on February 4 followed by volunteer attacks the next day. He reports twenty-six Native people killed and twenty-three captured in the two village attacks. He calls the dead warriors, but his account does not establish the role of every person killed. The figures are reported counts from a later settler history, not a complete or independently verified casualty list. [2, pp. 168–169]</w:t>
      </w:r>
    </w:p>
    <w:p>
      <w:r>
        <w:t>Attacks also struck people who had been promised safety. Bearss, drawing on Army correspondence, describes volunteers calling Yurok people out of a village, shaking hands with them and then opening fire. Women were taken away as prisoners. Such incidents damaged the credibility of promises that surrender would bring protection. [1, pp. 75–76]</w:t>
      </w:r>
    </w:p>
    <w:p>
      <w:pPr>
        <w:pStyle w:val="Heading1"/>
      </w:pPr>
      <w:r>
        <w:t>What the Army reported</w:t>
      </w:r>
    </w:p>
    <w:p>
      <w:r>
        <w:t>General John E. Wool's February 26, 1855 letter provides a contemporary view of the crisis. He reported that some settlers had organized to destroy peaceful Native people who had given up their weapons under a promise of safety. Judah chose to protect those communities rather than leave them exposed while he pursued fighters in the mountains. Wool also reported that Judah returned to Fort Humboldt on February 7 because Buchanan could not supply him during the winter. [6]</w:t>
      </w:r>
    </w:p>
    <w:p>
      <w:r>
        <w:t>This supply problem gives a more specific explanation than Bledsoe's later attack on Buchanan's indecision. Wool further complained that local civil authority was absent and that courts acquitted offenders in cases involving attacks on Native people. His letter shows divisions among settlers and describes an Army effort to prevent mass killing. It remains an official account of the Army's own conduct, so it should be compared with other evidence. [6; 2, pp. 167–171]</w:t>
      </w:r>
    </w:p>
    <w:p>
      <w:r>
        <w:t>Protection by the Army still operated within a policy of U.S. control. Federal officers and Indian agents sought surrender, punishment of selected fighters and reservation settlement. Their intervention could restrain volunteer violence while also narrowing Native freedom to remain armed and live where they chose. [1, pp. 76–81]</w:t>
      </w:r>
    </w:p>
    <w:p>
      <w:pPr>
        <w:pStyle w:val="Heading1"/>
      </w:pPr>
      <w:r>
        <w:t>How the war ended</w:t>
      </w:r>
    </w:p>
    <w:p>
      <w:r>
        <w:t>Peace depended partly on Native diplomacy. Communities used messengers to carry proposals between villages. Some offered to help secure the surrender of Red Cap fighters if their own families and property received protection. Settler threats and disagreements among volunteer commanders disrupted these plans. Native cooperation was therefore a calculated effort to survive a dangerous situation. [2, pp. 172–174]</w:t>
      </w:r>
    </w:p>
    <w:p>
      <w:r>
        <w:t>Judah returned to the Klamath in March. In early April, councils brought together representatives of local communities. Bearss describes an agreement to pursue selected Red Cap fighters accused of killing settlers and to encourage others to surrender. Food and weapons would be supplied to Native men assisting the operation. The arrangement combined negotiation with threats of execution and continued military pressure. [1, pp. 75–77]</w:t>
      </w:r>
    </w:p>
    <w:p>
      <w:r>
        <w:t>Bledsoe describes Judah dismissing divided volunteer companies and later being replaced by Captain DeLancey Floyd-Jones. Special agent S. G. Whipple helped organize the settlement and proposed concentrating Native people along the lower river. By June, several resistance leaders had died and most followers had surrendered. Some remained in the mountains. The main campaign ended through a mixture of exhaustion, pressure and agreements, rather than one decisive battlefield victory. [1, pp. 77–79; 2, pp. 174–176]</w:t>
      </w:r>
    </w:p>
    <w:p>
      <w:pPr>
        <w:pStyle w:val="Heading1"/>
      </w:pPr>
      <w:r>
        <w:t>The reservation established in November 1855</w:t>
      </w:r>
    </w:p>
    <w:p>
      <w:r>
        <w:t>The end of the main fighting and the legal creation of the reservation were separate events. On November 16, 1855, President Franklin Pierce approved the Klamath River Reservation. It ran approximately twenty miles upstream from the Pacific Ocean and extended one mile on each side of the river. The authorized area could not exceed 25,000 acres. The presidential date and boundaries are confirmed in the later Supreme Court decision Mattz v. Arnett. A March 1855 congressional funding law should not be confused with the November order establishing this particular reservation. [13]</w:t>
      </w:r>
    </w:p>
    <w:p>
      <w:r>
        <w:t>Whipple had initially proposed a much wider area. Officials reduced the proposal before it received presidential approval. They regarded the river's fish, some cultivable flats and difficult terrain as advantages. They also hoped to concentrate Native people there at low cost. The reserve covered only a limited part of the region's Native homelands. It did not restore the land and security promised in the earlier treaty process. [1, pp. 77–81]</w:t>
      </w:r>
    </w:p>
    <w:p>
      <w:r>
        <w:t>For some Yurok families, a lower river reservation allowed continued residence within part of their homeland. It also imposed confinement and federal supervision. The Yurok Tribe's account emphasizes the hardship created by a reserve much smaller than its ancestral territory and the later pressure to adopt farming and English. It is misleading to describe reservation life simply as a welcome or easy outcome. [10]</w:t>
      </w:r>
    </w:p>
    <w:p>
      <w:pPr>
        <w:pStyle w:val="Heading1"/>
      </w:pPr>
      <w:r>
        <w:t>The aftermath during 1856 and beyond</w:t>
      </w:r>
    </w:p>
    <w:p>
      <w:r>
        <w:t>In 1856, the government sought to develop gardens and potato crops on the reservation and supplied tools, seeds and materials for fishing nets. Troops helped maintain control. Whipple resigned that year and was replaced by James A. Patterson. Bearss records disputes over promises of support and compensation to Tolowa people whom officials tried to settle in the lower river area. Their return to their own communities shows the limits of the government's effort to concentrate different peoples in one place. [1, pp. 81–83]</w:t>
      </w:r>
    </w:p>
    <w:p>
      <w:r>
        <w:t>Violence elsewhere on the Klamath also continued. Historian Tara Aine Keegan, drawing on Benjamin Madley's research, identifies two attacks on Karuk people in April 1856, including one near Happy Camp on April 20. She reports at least seventeen people killed across those attacks. These belong to the continuing violence after the main Red Cap campaign. They do not establish that one unchanged war ran continuously through all of 1856. [11, pp. 61–62]</w:t>
      </w:r>
    </w:p>
    <w:p>
      <w:r>
        <w:t>The later history also included survival and continued attachment to the river. Flooding in the winter of 1861 and 1862 damaged reservation facilities and prompted efforts to move residents. Many Yurok people remained or returned. In 1973, the Supreme Court held in Mattz v. Arnett that the reservation had not been terminated by the 1892 law opening land to settlement. The Court left the particular fishing rights questions in that case for further proceedings. The ruling helps show how the land arrangements made after the war continued to matter. [10; 13]</w:t>
      </w:r>
    </w:p>
    <w:p>
      <w:pPr>
        <w:pStyle w:val="Heading1"/>
      </w:pPr>
      <w:r>
        <w:t>Casualties and the limits of the evidence</w:t>
      </w:r>
    </w:p>
    <w:p>
      <w:r>
        <w:t>The sources used here do not support one reliable total for everyone killed in the war. They record particular attacks and deaths, but often mix armed fighters with village residents. They also sometimes combine the Klamath campaign with violence near Crescent City or with later attacks farther upriver. A careful account should keep those events separate and avoid converting regional population losses into a battlefield death toll. [1; 2; 7]</w:t>
      </w:r>
    </w:p>
    <w:p>
      <w:r>
        <w:t>Bledsoe wrote in 1885, about thirty years after the events. He preserved valuable details but used racial stereotypes and sometimes made clear mistakes. On page 168, he places Ulysses S. Grant at the mouth of the Salmon during the 1855 conflict. Grant had already resigned from the Army in 1854, effective July 31. That episode cannot be accepted as an accurate account of Grant's service. His error is a reason to cross-check the book's names, dates and claims. [2; 14]</w:t>
      </w:r>
    </w:p>
    <w:p>
      <w:r>
        <w:t>Government reports also had purposes. Officers defended decisions, agents requested funds and settlers argued for protection or reimbursement. Native people's views often reach the written record through those outsiders. Official Yurok histories and modern scholarship help restore a perspective that many nineteenth-century accounts minimized.</w:t>
      </w:r>
    </w:p>
    <w:p>
      <w:pPr>
        <w:pStyle w:val="Heading1"/>
      </w:pPr>
      <w:r>
        <w:t>Why the war matters in American history</w:t>
      </w:r>
    </w:p>
    <w:p>
      <w:r>
        <w:t>The Klamath and Salmon River War shows how conquest could happen through local demands, armed volunteer activity and federal policy working in the same place. Settlers claimed control over weapons and land. Native communities resisted, sought protection or negotiated under pressure. Officials tried to stop some killings while building a reservation system that restricted Native independence.</w:t>
      </w:r>
    </w:p>
    <w:p>
      <w:r>
        <w:t>Historians place this conflict within the wider California genocide. Benjamin Madley identifies deliberate killing, forced confinement and unfree labor as major causes of Native losses under U.S. rule, alongside disease and starvation. Here, contemporary evidence is especially important: a local newspaper acknowledged settler responsibility, and an Army commander reported plans to destroy people who had already disarmed. These records support the term genocide for the wider campaign of destruction without requiring us to treat every settler or soldier as having the same aim. [5; 6; 12]</w:t>
      </w:r>
    </w:p>
    <w:p>
      <w:r>
        <w:t>The return of mining did not settle the underlying questions of Native land, safety and control of the river. The 1855 reservation reduced some immediate conflict while leaving families to face continued violence and outside supervision. Their continued presence along the Klamath is part of the war's history as much as the fighting itself. [1; 10; 13]</w:t>
      </w:r>
    </w:p>
    <w:p>
      <w:pPr>
        <w:pStyle w:val="Heading1"/>
      </w:pPr>
      <w:r>
        <w:t>Timeline of the conflict and its aftermath</w:t>
      </w:r>
    </w:p>
    <w:p>
      <w:pPr>
        <w:keepNext/>
      </w:pPr>
      <w:r>
        <w:t>The entries distinguish the main campaign in 1855 from the continuing effects in 1856. Numbers in the final column refer to the sources.</w:t>
      </w:r>
    </w:p>
    <w:tbl>
      <w:tblPr>
        <w:tblW w:type="auto" w:w="0"/>
        <w:jc w:val="center"/>
        <w:tblLayout w:type="fixed"/>
        <w:tblLook w:firstColumn="1" w:firstRow="1" w:lastColumn="0" w:lastRow="0" w:noHBand="0" w:noVBand="1" w:val="04A0"/>
      </w:tblPr>
      <w:tblGrid>
        <w:gridCol w:w="1872"/>
        <w:gridCol w:w="6797"/>
        <w:gridCol w:w="1123"/>
      </w:tblGrid>
      <w:tr>
        <w:trPr>
          <w:tblHeader w:val="true"/>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DDE6ED"/>
          </w:tcPr>
          <w:p>
            <w:pPr>
              <w:spacing w:before="0" w:after="0" w:line="254" w:lineRule="auto"/>
              <w:jc w:val="left"/>
            </w:pPr>
            <w:r>
              <w:rPr>
                <w:rFonts w:ascii="Cambria" w:hAnsi="Cambria"/>
                <w:b/>
                <w:color w:val="000000"/>
                <w:sz w:val="21"/>
              </w:rPr>
              <w:t>Date</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DDE6ED"/>
          </w:tcPr>
          <w:p>
            <w:pPr>
              <w:spacing w:before="0" w:after="0" w:line="254" w:lineRule="auto"/>
              <w:jc w:val="left"/>
            </w:pPr>
            <w:r>
              <w:rPr>
                <w:rFonts w:ascii="Cambria" w:hAnsi="Cambria"/>
                <w:b/>
                <w:color w:val="000000"/>
                <w:sz w:val="21"/>
              </w:rPr>
              <w:t>Event</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DDE6ED"/>
          </w:tcPr>
          <w:p>
            <w:pPr>
              <w:spacing w:before="0" w:after="0" w:line="254" w:lineRule="auto"/>
              <w:jc w:val="center"/>
            </w:pPr>
            <w:r>
              <w:rPr>
                <w:rFonts w:ascii="Cambria" w:hAnsi="Cambria"/>
                <w:b/>
                <w:color w:val="000000"/>
                <w:sz w:val="21"/>
              </w:rPr>
              <w:t>Sources</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1850</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California's Indian law creates unequal legal protection and forms of compulsory labor.</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center"/>
            </w:pPr>
            <w:r>
              <w:rPr>
                <w:rFonts w:ascii="Cambria" w:hAnsi="Cambria"/>
                <w:b w:val="0"/>
                <w:color w:val="000000"/>
                <w:sz w:val="21"/>
              </w:rPr>
              <w:t>3</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1851 to 1852</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McKee negotiates treaties. The Senate rejects the eighteen California agreements.</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center"/>
            </w:pPr>
            <w:r>
              <w:rPr>
                <w:rFonts w:ascii="Cambria" w:hAnsi="Cambria"/>
                <w:b w:val="0"/>
                <w:color w:val="000000"/>
                <w:sz w:val="21"/>
              </w:rPr>
              <w:t>3, 8</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December 1854</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A later newspaper report links the crisis to an attempted sexual assault, a killing and a dispute over an ox.</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center"/>
            </w:pPr>
            <w:r>
              <w:rPr>
                <w:rFonts w:ascii="Cambria" w:hAnsi="Cambria"/>
                <w:b w:val="0"/>
                <w:color w:val="000000"/>
                <w:sz w:val="21"/>
              </w:rPr>
              <w:t>5</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January 6 1855</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Orleans Bar settlers adopt resolutions against supplying or repairing Native firearms.</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center"/>
            </w:pPr>
            <w:r>
              <w:rPr>
                <w:rFonts w:ascii="Cambria" w:hAnsi="Cambria"/>
                <w:b w:val="0"/>
                <w:color w:val="000000"/>
                <w:sz w:val="21"/>
              </w:rPr>
              <w:t>4</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January 19 1855</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Bledsoe dates a confrontation at a Red Cap village to this day. Miners request Army help.</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center"/>
            </w:pPr>
            <w:r>
              <w:rPr>
                <w:rFonts w:ascii="Cambria" w:hAnsi="Cambria"/>
                <w:b w:val="0"/>
                <w:color w:val="000000"/>
                <w:sz w:val="21"/>
              </w:rPr>
              <w:t>2</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Late January and February</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Judah intervenes. Volunteer raids and attacks on miners continue. Wool reports threats against disarmed communities.</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center"/>
            </w:pPr>
            <w:r>
              <w:rPr>
                <w:rFonts w:ascii="Cambria" w:hAnsi="Cambria"/>
                <w:b w:val="0"/>
                <w:color w:val="000000"/>
                <w:sz w:val="21"/>
              </w:rPr>
              <w:t>2, 6</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March and April</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Judah returns. Councils and agreements seek surrender and protection for villages.</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center"/>
            </w:pPr>
            <w:r>
              <w:rPr>
                <w:rFonts w:ascii="Cambria" w:hAnsi="Cambria"/>
                <w:b w:val="0"/>
                <w:color w:val="000000"/>
                <w:sz w:val="21"/>
              </w:rPr>
              <w:t>1, 2</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Early to mid June</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The main resistance declines through deaths and surrenders. Reservation planning proceeds.</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center"/>
            </w:pPr>
            <w:r>
              <w:rPr>
                <w:rFonts w:ascii="Cambria" w:hAnsi="Cambria"/>
                <w:b w:val="0"/>
                <w:color w:val="000000"/>
                <w:sz w:val="21"/>
              </w:rPr>
              <w:t>1, 2</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November 16 1855</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left"/>
            </w:pPr>
            <w:r>
              <w:rPr>
                <w:rFonts w:ascii="Cambria" w:hAnsi="Cambria"/>
                <w:b w:val="0"/>
                <w:color w:val="000000"/>
                <w:sz w:val="21"/>
              </w:rPr>
              <w:t>Pierce formally establishes the Klamath River Reservation.</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FFFFF"/>
          </w:tcPr>
          <w:p>
            <w:pPr>
              <w:spacing w:before="0" w:after="0" w:line="254" w:lineRule="auto"/>
              <w:jc w:val="center"/>
            </w:pPr>
            <w:r>
              <w:rPr>
                <w:rFonts w:ascii="Cambria" w:hAnsi="Cambria"/>
                <w:b w:val="0"/>
                <w:color w:val="000000"/>
                <w:sz w:val="21"/>
              </w:rPr>
              <w:t>13</w:t>
            </w:r>
          </w:p>
        </w:tc>
      </w:tr>
      <w:tr>
        <w:trPr>
          <w:cantSplit/>
        </w:trPr>
        <w:tc>
          <w:tcPr>
            <w:tcW w:type="dxa" w:w="1872"/>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1856</w:t>
            </w:r>
          </w:p>
        </w:tc>
        <w:tc>
          <w:tcPr>
            <w:tcW w:type="dxa" w:w="6797"/>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left"/>
            </w:pPr>
            <w:r>
              <w:rPr>
                <w:rFonts w:ascii="Cambria" w:hAnsi="Cambria"/>
                <w:b w:val="0"/>
                <w:color w:val="000000"/>
                <w:sz w:val="21"/>
              </w:rPr>
              <w:t>Reservation supervision and agricultural plans expand. Other attacks on Karuk communities continue.</w:t>
            </w:r>
          </w:p>
        </w:tc>
        <w:tc>
          <w:tcPr>
            <w:tcW w:type="dxa" w:w="1123"/>
            <w:vAlign w:val="center"/>
            <w:tcBorders>
              <w:top w:val="single" w:sz="6" w:color="D9D9D9"/>
              <w:left w:val="single" w:sz="6" w:color="D9D9D9"/>
              <w:bottom w:val="single" w:sz="6" w:color="D9D9D9"/>
              <w:right w:val="single" w:sz="6" w:color="D9D9D9"/>
            </w:tcBorders>
            <w:tcMar>
              <w:top w:w="90" w:type="dxa"/>
              <w:bottom w:w="90" w:type="dxa"/>
              <w:left w:w="105" w:type="dxa"/>
              <w:right w:w="105" w:type="dxa"/>
            </w:tcMar>
            <w:shd w:fill="F5F7F9"/>
          </w:tcPr>
          <w:p>
            <w:pPr>
              <w:spacing w:before="0" w:after="0" w:line="254" w:lineRule="auto"/>
              <w:jc w:val="center"/>
            </w:pPr>
            <w:r>
              <w:rPr>
                <w:rFonts w:ascii="Cambria" w:hAnsi="Cambria"/>
                <w:b w:val="0"/>
                <w:color w:val="000000"/>
                <w:sz w:val="21"/>
              </w:rPr>
              <w:t>1, 11</w:t>
            </w:r>
          </w:p>
        </w:tc>
      </w:tr>
    </w:tbl>
    <w:p>
      <w:pPr>
        <w:pStyle w:val="Heading1"/>
      </w:pPr>
      <w:r>
        <w:t>Sources and reading notes</w:t>
      </w:r>
    </w:p>
    <w:p>
      <w:r>
        <w:t>Bracketed numbers in the text identify the sources below. The list combines contemporary records, university scholarship, an official government history and tribal historical accounts. Newspaper reports and later recollections are identified so that their claims can be weighed in context.</w:t>
      </w:r>
    </w:p>
    <w:p>
      <w:pPr>
        <w:pStyle w:val="Source"/>
      </w:pPr>
      <w:r>
        <w:rPr>
          <w:b/>
        </w:rPr>
        <w:t xml:space="preserve">1  </w:t>
      </w:r>
      <w:r>
        <w:t>Bearss, Edwin C. History Basic Data Redwood National Park Del Norte and Humboldt Counties California. National Park Service, September 1, 1969. Reprinted March 1982.</w:t>
      </w:r>
    </w:p>
    <w:p>
      <w:pPr>
        <w:pStyle w:val="SourceNote"/>
      </w:pPr>
      <w:r>
        <w:t>Government historical study. Chapter VI, especially printed pages 72 to 83, draws on Army and Indian Affairs correspondence. Printed page numbers differ from PDF page numbers.</w:t>
      </w:r>
    </w:p>
    <w:p>
      <w:pPr>
        <w:pStyle w:val="SourceURL"/>
      </w:pPr>
      <w:hyperlink r:id="rId11">
        <w:r>
          <w:rPr>
            <w:rFonts w:ascii="Calibri" w:hAnsi="Calibri"/>
            <w:sz w:val="20"/>
            <w:color w:val="17365D"/>
            <w:u w:val="single"/>
          </w:rPr>
          <w:t>https://www.waterboards.ca.gov/water_issues/programs/tmdl/records/region_1/2003/ref1981.pdf</w:t>
        </w:r>
      </w:hyperlink>
    </w:p>
    <w:p>
      <w:pPr>
        <w:pStyle w:val="Source"/>
      </w:pPr>
      <w:r>
        <w:rPr>
          <w:b/>
        </w:rPr>
        <w:t xml:space="preserve">2  </w:t>
      </w:r>
      <w:r>
        <w:t>Bledsoe, Anthony Jennings. Indian Wars of the Northwest A California Sketch. San Francisco: Bacon and Company, 1885.</w:t>
      </w:r>
    </w:p>
    <w:p>
      <w:pPr>
        <w:pStyle w:val="SourceNote"/>
      </w:pPr>
      <w:r>
        <w:t>Later nineteenth-century settler history. Chapter VI, printed pages 153 to 176, supplies a detailed narrative. Its prejudice and errors require comparison with other sources. Full scan hosted by the University of California Berkeley.</w:t>
      </w:r>
    </w:p>
    <w:p>
      <w:pPr>
        <w:pStyle w:val="SourceURL"/>
      </w:pPr>
      <w:hyperlink r:id="rId12">
        <w:r>
          <w:rPr>
            <w:rFonts w:ascii="Calibri" w:hAnsi="Calibri"/>
            <w:sz w:val="20"/>
            <w:color w:val="17365D"/>
            <w:u w:val="single"/>
          </w:rPr>
          <w:t>https://digicoll.lib.berkeley.edu/record/281960/files/indianwarsofnort01bled.pdf</w:t>
        </w:r>
      </w:hyperlink>
    </w:p>
    <w:p>
      <w:pPr>
        <w:pStyle w:val="Source"/>
      </w:pPr>
      <w:r>
        <w:rPr>
          <w:b/>
        </w:rPr>
        <w:t xml:space="preserve">3  </w:t>
      </w:r>
      <w:r>
        <w:t>Johnston-Dodds, Kimberly. Early California Laws and Policies Related to California Indians. Sacramento: California State Library, California Research Bureau, 2002.</w:t>
      </w:r>
    </w:p>
    <w:p>
      <w:pPr>
        <w:pStyle w:val="SourceNote"/>
      </w:pPr>
      <w:r>
        <w:t>Research report based on legislative and archival records. Relevant sections cover the 1850 act, militia policy and the unratified treaties. Includes primary legislative material.</w:t>
      </w:r>
    </w:p>
    <w:p>
      <w:pPr>
        <w:pStyle w:val="SourceURL"/>
      </w:pPr>
      <w:hyperlink r:id="rId13">
        <w:r>
          <w:rPr>
            <w:rFonts w:ascii="Calibri" w:hAnsi="Calibri"/>
            <w:sz w:val="20"/>
            <w:color w:val="17365D"/>
            <w:u w:val="single"/>
          </w:rPr>
          <w:t>https://tribalaffairs.ca.gov/wp-content/uploads/sites/10/2024/11/2002-Early-California-Laws-and-Policies-Related-to-California-I.pdf</w:t>
        </w:r>
      </w:hyperlink>
    </w:p>
    <w:p>
      <w:pPr>
        <w:pStyle w:val="Source"/>
      </w:pPr>
      <w:r>
        <w:rPr>
          <w:b/>
        </w:rPr>
        <w:t xml:space="preserve">4  </w:t>
      </w:r>
      <w:r>
        <w:t>Weekly Humboldt Times. Meeting of the Citizens of Orleans Bar. January 13, 1855, page 2, column 3.</w:t>
      </w:r>
    </w:p>
    <w:p>
      <w:pPr>
        <w:pStyle w:val="SourceNote"/>
      </w:pPr>
      <w:r>
        <w:t>Contemporary primary source. Publishes the January 6 resolutions. Scanned newspaper clipping in the California Indian History collection.</w:t>
      </w:r>
    </w:p>
    <w:p>
      <w:pPr>
        <w:pStyle w:val="SourceURL"/>
      </w:pPr>
      <w:hyperlink r:id="rId14">
        <w:r>
          <w:rPr>
            <w:rFonts w:ascii="Calibri" w:hAnsi="Calibri"/>
            <w:sz w:val="20"/>
            <w:color w:val="17365D"/>
            <w:u w:val="single"/>
          </w:rPr>
          <w:t>https://calindianhistory.org/wp-content/uploads/2015/09/01_13_1855_Citizens.pdf</w:t>
        </w:r>
      </w:hyperlink>
    </w:p>
    <w:p>
      <w:pPr>
        <w:pStyle w:val="Source"/>
      </w:pPr>
      <w:r>
        <w:rPr>
          <w:b/>
        </w:rPr>
        <w:t xml:space="preserve">5  </w:t>
      </w:r>
      <w:r>
        <w:t>Weekly Humboldt Times. Removal of the Indians. February 3, 1855, page 2, column 3.</w:t>
      </w:r>
    </w:p>
    <w:p>
      <w:pPr>
        <w:pStyle w:val="SourceNote"/>
      </w:pPr>
      <w:r>
        <w:t>Contemporary primary source. Reports the alleged December assault and killing, village burning and demands for removal. Also records a dispute over the accusation. Scan from California State Library microfilm.</w:t>
      </w:r>
    </w:p>
    <w:p>
      <w:pPr>
        <w:pStyle w:val="SourceURL"/>
      </w:pPr>
      <w:hyperlink r:id="rId15">
        <w:r>
          <w:rPr>
            <w:rFonts w:ascii="Calibri" w:hAnsi="Calibri"/>
            <w:sz w:val="20"/>
            <w:color w:val="17365D"/>
            <w:u w:val="single"/>
          </w:rPr>
          <w:t>https://calindianhistory.org/wp-content/uploads/2018/10/02_03_1855_Removal_Indians_HT_2_3.pdf</w:t>
        </w:r>
      </w:hyperlink>
    </w:p>
    <w:p>
      <w:pPr>
        <w:pStyle w:val="Source"/>
      </w:pPr>
      <w:r>
        <w:rPr>
          <w:b/>
        </w:rPr>
        <w:t xml:space="preserve">6  </w:t>
      </w:r>
      <w:r>
        <w:t>Wool, John E. Letter to L. Thomas, February 26, 1855. Report of the Secretary of War. Senate Executive Documents, 34th Congress, 1st Session, volume 2, document 1, pages 74 to 75.</w:t>
      </w:r>
    </w:p>
    <w:p>
      <w:pPr>
        <w:pStyle w:val="SourceNote"/>
      </w:pPr>
      <w:r>
        <w:t>Contemporary official primary source. Describes Judah's protection of disarmed communities and the winter supply problem. The printed letter heading appears to misprint the year as 1865; its congressional volume and collection identify it as 1855. Digitized report excerpt in the California Indian History collection.</w:t>
      </w:r>
    </w:p>
    <w:p>
      <w:pPr>
        <w:pStyle w:val="SourceURL"/>
      </w:pPr>
      <w:hyperlink r:id="rId16">
        <w:r>
          <w:rPr>
            <w:rFonts w:ascii="Calibri" w:hAnsi="Calibri"/>
            <w:sz w:val="20"/>
            <w:color w:val="17365D"/>
            <w:u w:val="single"/>
          </w:rPr>
          <w:t>https://calindianhistory.org/wp-content/uploads/2015/09/02_26_1855.pdf</w:t>
        </w:r>
      </w:hyperlink>
    </w:p>
    <w:p>
      <w:pPr>
        <w:pStyle w:val="Source"/>
      </w:pPr>
      <w:r>
        <w:rPr>
          <w:b/>
        </w:rPr>
        <w:t xml:space="preserve">7  </w:t>
      </w:r>
      <w:r>
        <w:t>Yurok Tribe. Gold Rush in Yurok Country. No date.</w:t>
      </w:r>
    </w:p>
    <w:p>
      <w:pPr>
        <w:pStyle w:val="SourceNote"/>
      </w:pPr>
      <w:r>
        <w:t>Official tribal historical account. Used for settlement, early cooperation and the broader human costs of the Gold Rush.</w:t>
      </w:r>
    </w:p>
    <w:p>
      <w:pPr>
        <w:pStyle w:val="SourceURL"/>
      </w:pPr>
      <w:hyperlink r:id="rId17">
        <w:r>
          <w:rPr>
            <w:rFonts w:ascii="Calibri" w:hAnsi="Calibri"/>
            <w:sz w:val="20"/>
            <w:color w:val="17365D"/>
            <w:u w:val="single"/>
          </w:rPr>
          <w:t>https://www.yuroktribe.org/gold-rush-in-yurok-country</w:t>
        </w:r>
      </w:hyperlink>
    </w:p>
    <w:p>
      <w:pPr>
        <w:pStyle w:val="Source"/>
      </w:pPr>
      <w:r>
        <w:rPr>
          <w:b/>
        </w:rPr>
        <w:t xml:space="preserve">8  </w:t>
      </w:r>
      <w:r>
        <w:t>Yurok Tribe. Treaty Negotiations. No date.</w:t>
      </w:r>
    </w:p>
    <w:p>
      <w:pPr>
        <w:pStyle w:val="SourceNote"/>
      </w:pPr>
      <w:r>
        <w:t>Official tribal historical account. Used for McKee's negotiations, settler opposition and failure to notify Native communities of rejection.</w:t>
      </w:r>
    </w:p>
    <w:p>
      <w:pPr>
        <w:pStyle w:val="SourceURL"/>
      </w:pPr>
      <w:hyperlink r:id="rId18">
        <w:r>
          <w:rPr>
            <w:rFonts w:ascii="Calibri" w:hAnsi="Calibri"/>
            <w:sz w:val="20"/>
            <w:color w:val="17365D"/>
            <w:u w:val="single"/>
          </w:rPr>
          <w:t>https://www.yuroktribe.org/treaty-negotiations</w:t>
        </w:r>
      </w:hyperlink>
    </w:p>
    <w:p>
      <w:pPr>
        <w:pStyle w:val="Source"/>
      </w:pPr>
      <w:r>
        <w:rPr>
          <w:b/>
        </w:rPr>
        <w:t xml:space="preserve">9  </w:t>
      </w:r>
      <w:r>
        <w:t>Yurok Tribe. Revolts Against Settlers. No date.</w:t>
      </w:r>
    </w:p>
    <w:p>
      <w:pPr>
        <w:pStyle w:val="SourceNote"/>
      </w:pPr>
      <w:r>
        <w:t>Official tribal historical account. Describes the Red Caps as a mixed group and their disruption of settlement.</w:t>
      </w:r>
    </w:p>
    <w:p>
      <w:pPr>
        <w:pStyle w:val="SourceURL"/>
      </w:pPr>
      <w:hyperlink r:id="rId19">
        <w:r>
          <w:rPr>
            <w:rFonts w:ascii="Calibri" w:hAnsi="Calibri"/>
            <w:sz w:val="20"/>
            <w:color w:val="17365D"/>
            <w:u w:val="single"/>
          </w:rPr>
          <w:t>https://www.yuroktribe.org/revolts-against-settlers</w:t>
        </w:r>
      </w:hyperlink>
    </w:p>
    <w:p>
      <w:pPr>
        <w:pStyle w:val="Source"/>
      </w:pPr>
      <w:r>
        <w:rPr>
          <w:b/>
        </w:rPr>
        <w:t xml:space="preserve">10  </w:t>
      </w:r>
      <w:r>
        <w:t>Yurok Tribe. Formation of Reservations. No date.</w:t>
      </w:r>
    </w:p>
    <w:p>
      <w:pPr>
        <w:pStyle w:val="SourceNote"/>
      </w:pPr>
      <w:r>
        <w:t>Official tribal historical account. Used for confinement, loss of access to ancestral territory and later relocation pressures. Later administrative dates are checked against the court record below.</w:t>
      </w:r>
    </w:p>
    <w:p>
      <w:pPr>
        <w:pStyle w:val="SourceURL"/>
      </w:pPr>
      <w:hyperlink r:id="rId20">
        <w:r>
          <w:rPr>
            <w:rFonts w:ascii="Calibri" w:hAnsi="Calibri"/>
            <w:sz w:val="20"/>
            <w:color w:val="17365D"/>
            <w:u w:val="single"/>
          </w:rPr>
          <w:t>https://www.yuroktribe.org/formation-of-reservations</w:t>
        </w:r>
      </w:hyperlink>
    </w:p>
    <w:p>
      <w:pPr>
        <w:pStyle w:val="Source"/>
      </w:pPr>
      <w:r>
        <w:rPr>
          <w:b/>
        </w:rPr>
        <w:t xml:space="preserve">11  </w:t>
      </w:r>
      <w:r>
        <w:t>Keegan, Tara Aine. Running the Redwood Empire Indigeneity Modernity and a 480 Mile Footrace. PhD dissertation, University of Oregon, 2021.</w:t>
      </w:r>
    </w:p>
    <w:p>
      <w:pPr>
        <w:pStyle w:val="SourceNote"/>
      </w:pPr>
      <w:r>
        <w:t>University historical scholarship. Printed pages 57 to 62 discuss the Red Cap War and continuing violence in 1856. Page 74 discusses varied Native alliances. Specific findings borrowed from Madley are attributed through Keegan rather than presented as a direct reading of his full book.</w:t>
      </w:r>
    </w:p>
    <w:p>
      <w:pPr>
        <w:pStyle w:val="SourceURL"/>
      </w:pPr>
      <w:hyperlink r:id="rId21">
        <w:r>
          <w:rPr>
            <w:rFonts w:ascii="Calibri" w:hAnsi="Calibri"/>
            <w:sz w:val="20"/>
            <w:color w:val="17365D"/>
            <w:u w:val="single"/>
          </w:rPr>
          <w:t>https://scholarsbank.uoregon.edu/server/api/core/bitstreams/0bf92646-d520-44b6-a2cc-d71d614950c1/content</w:t>
        </w:r>
      </w:hyperlink>
    </w:p>
    <w:p>
      <w:pPr>
        <w:pStyle w:val="Source"/>
      </w:pPr>
      <w:r>
        <w:rPr>
          <w:b/>
        </w:rPr>
        <w:t xml:space="preserve">12  </w:t>
      </w:r>
      <w:r>
        <w:t>Madley, Benjamin. Confronting American Genocide on the California Coast. Yale University Press, May 23, 2017.</w:t>
      </w:r>
    </w:p>
    <w:p>
      <w:pPr>
        <w:pStyle w:val="SourceNote"/>
      </w:pPr>
      <w:r>
        <w:t>Published excerpt from An American Genocide. Used for the wider historical interpretation and causes of Native population loss, not as a source for a precise casualty total in this war.</w:t>
      </w:r>
    </w:p>
    <w:p>
      <w:pPr>
        <w:pStyle w:val="SourceURL"/>
      </w:pPr>
      <w:hyperlink r:id="rId22">
        <w:r>
          <w:rPr>
            <w:rFonts w:ascii="Calibri" w:hAnsi="Calibri"/>
            <w:sz w:val="20"/>
            <w:color w:val="17365D"/>
            <w:u w:val="single"/>
          </w:rPr>
          <w:t>https://yalebooks.yale.edu/2017/05/23/confronting-american-genocide-on-the-california-coast/</w:t>
        </w:r>
      </w:hyperlink>
    </w:p>
    <w:p>
      <w:pPr>
        <w:pStyle w:val="Source"/>
      </w:pPr>
      <w:r>
        <w:rPr>
          <w:b/>
        </w:rPr>
        <w:t xml:space="preserve">13  </w:t>
      </w:r>
      <w:r>
        <w:t>U.S. Supreme Court. Mattz v. Arnett. 412 U.S. 481. 1973.</w:t>
      </w:r>
    </w:p>
    <w:p>
      <w:pPr>
        <w:pStyle w:val="SourceNote"/>
      </w:pPr>
      <w:r>
        <w:t>Primary judicial record with an extensive reservation history. Confirms the November 16, 1855 executive order and boundaries and distinguishes reservation status from the fishing issues left for later proceedings. Full text hosted by Public Resource.</w:t>
      </w:r>
    </w:p>
    <w:p>
      <w:pPr>
        <w:pStyle w:val="SourceURL"/>
      </w:pPr>
      <w:hyperlink r:id="rId23">
        <w:r>
          <w:rPr>
            <w:rFonts w:ascii="Calibri" w:hAnsi="Calibri"/>
            <w:sz w:val="20"/>
            <w:color w:val="17365D"/>
            <w:u w:val="single"/>
          </w:rPr>
          <w:t>https://law.resource.org/pub/us/case/reporter/US/412/412.US.481.71-1182.html</w:t>
        </w:r>
      </w:hyperlink>
    </w:p>
    <w:p>
      <w:pPr>
        <w:pStyle w:val="Source"/>
      </w:pPr>
      <w:r>
        <w:rPr>
          <w:b/>
        </w:rPr>
        <w:t xml:space="preserve">14  </w:t>
      </w:r>
      <w:r>
        <w:t>National Park Service. Grant's Dispatch December 1 2019. Ulysses S Grant National Historic Site, 2019.</w:t>
      </w:r>
    </w:p>
    <w:p>
      <w:pPr>
        <w:pStyle w:val="SourceNote"/>
      </w:pPr>
      <w:r>
        <w:t>Institutional history used to check Grant's 1854 resignation against the incorrect episode in Bledsoe.</w:t>
      </w:r>
    </w:p>
    <w:p>
      <w:pPr>
        <w:pStyle w:val="SourceURL"/>
      </w:pPr>
      <w:hyperlink r:id="rId24">
        <w:r>
          <w:rPr>
            <w:rFonts w:ascii="Calibri" w:hAnsi="Calibri"/>
            <w:sz w:val="20"/>
            <w:color w:val="17365D"/>
            <w:u w:val="single"/>
          </w:rPr>
          <w:t>https://www.nps.gov/ulsg/blogs/grants-dispatch-december-1-2019.htm</w:t>
        </w:r>
      </w:hyperlink>
    </w:p>
    <w:sectPr w:rsidR="00FC693F" w:rsidRPr="0006063C" w:rsidSect="00034616">
      <w:headerReference w:type="default" r:id="rId9"/>
      <w:footerReference w:type="default" r:id="rId10"/>
      <w:pgSz w:w="12240" w:h="15840"/>
      <w:pgMar w:top="1152" w:right="1224" w:bottom="1152" w:left="1224"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sz w:val="18"/>
      </w:rPr>
      <w:t xml:space="preserve">Page </w:t>
    </w:r>
    <w:fldSimple w:instr="PAGE">
      <w:r>
        <w:rPr>
          <w:rFonts w:ascii="Cambria" w:hAnsi="Cambria"/>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000000"/>
        <w:sz w:val="18"/>
      </w:rPr>
      <w:t>Klamath and Salmon River War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Cambria" w:hAnsi="Cambria" w:eastAsia="Cambria" w:cs="Cambria"/>
      <w:b w:val="0"/>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Cambria" w:hAnsi="Cambria" w:eastAsia="Cambria" w:cs="Cambr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Cambria" w:hAnsi="Cambria" w:eastAsia="Cambria" w:cs="Cambr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Cambria" w:hAnsi="Cambria" w:eastAsia="Cambria" w:cs="Cambria"/>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line="259" w:lineRule="auto"/>
    </w:pPr>
    <w:rPr>
      <w:rFonts w:ascii="Cambria" w:hAnsi="Cambria" w:eastAsia="Cambria" w:cs="Cambria"/>
      <w:b w:val="0"/>
      <w:i/>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basedOn w:val="Normal"/>
    <w:pPr>
      <w:keepNext/>
      <w:spacing w:line="252" w:lineRule="auto" w:before="220" w:after="60"/>
    </w:pPr>
    <w:rPr>
      <w:rFonts w:ascii="Cambria" w:hAnsi="Cambria" w:eastAsia="Cambria" w:cs="Cambria"/>
      <w:b w:val="0"/>
      <w:color w:val="000000"/>
      <w:sz w:val="21"/>
    </w:rPr>
  </w:style>
  <w:style w:type="paragraph" w:customStyle="1" w:styleId="SourceNote">
    <w:name w:val="Source Note"/>
    <w:basedOn w:val="Normal"/>
    <w:pPr>
      <w:keepNext/>
      <w:spacing w:line="252" w:lineRule="auto" w:after="60"/>
    </w:pPr>
    <w:rPr>
      <w:rFonts w:ascii="Cambria" w:hAnsi="Cambria" w:eastAsia="Cambria" w:cs="Cambria"/>
      <w:b w:val="0"/>
      <w:color w:val="000000"/>
      <w:sz w:val="20"/>
    </w:rPr>
  </w:style>
  <w:style w:type="paragraph" w:customStyle="1" w:styleId="SourceURL">
    <w:name w:val="Source URL"/>
    <w:basedOn w:val="Normal"/>
    <w:pPr>
      <w:keepLines/>
      <w:spacing w:line="252" w:lineRule="auto" w:after="100"/>
    </w:pPr>
    <w:rPr>
      <w:rFonts w:ascii="Cambria" w:hAnsi="Cambria" w:eastAsia="Cambria" w:cs="Cambria"/>
      <w:b w:val="0"/>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waterboards.ca.gov/water_issues/programs/tmdl/records/region_1/2003/ref1981.pdf" TargetMode="External"/><Relationship Id="rId12" Type="http://schemas.openxmlformats.org/officeDocument/2006/relationships/hyperlink" Target="https://digicoll.lib.berkeley.edu/record/281960/files/indianwarsofnort01bled.pdf" TargetMode="External"/><Relationship Id="rId13" Type="http://schemas.openxmlformats.org/officeDocument/2006/relationships/hyperlink" Target="https://tribalaffairs.ca.gov/wp-content/uploads/sites/10/2024/11/2002-Early-California-Laws-and-Policies-Related-to-California-I.pdf" TargetMode="External"/><Relationship Id="rId14" Type="http://schemas.openxmlformats.org/officeDocument/2006/relationships/hyperlink" Target="https://calindianhistory.org/wp-content/uploads/2015/09/01_13_1855_Citizens.pdf" TargetMode="External"/><Relationship Id="rId15" Type="http://schemas.openxmlformats.org/officeDocument/2006/relationships/hyperlink" Target="https://calindianhistory.org/wp-content/uploads/2018/10/02_03_1855_Removal_Indians_HT_2_3.pdf" TargetMode="External"/><Relationship Id="rId16" Type="http://schemas.openxmlformats.org/officeDocument/2006/relationships/hyperlink" Target="https://calindianhistory.org/wp-content/uploads/2015/09/02_26_1855.pdf" TargetMode="External"/><Relationship Id="rId17" Type="http://schemas.openxmlformats.org/officeDocument/2006/relationships/hyperlink" Target="https://www.yuroktribe.org/gold-rush-in-yurok-country" TargetMode="External"/><Relationship Id="rId18" Type="http://schemas.openxmlformats.org/officeDocument/2006/relationships/hyperlink" Target="https://www.yuroktribe.org/treaty-negotiations" TargetMode="External"/><Relationship Id="rId19" Type="http://schemas.openxmlformats.org/officeDocument/2006/relationships/hyperlink" Target="https://www.yuroktribe.org/revolts-against-settlers" TargetMode="External"/><Relationship Id="rId20" Type="http://schemas.openxmlformats.org/officeDocument/2006/relationships/hyperlink" Target="https://www.yuroktribe.org/formation-of-reservations" TargetMode="External"/><Relationship Id="rId21" Type="http://schemas.openxmlformats.org/officeDocument/2006/relationships/hyperlink" Target="https://scholarsbank.uoregon.edu/server/api/core/bitstreams/0bf92646-d520-44b6-a2cc-d71d614950c1/content" TargetMode="External"/><Relationship Id="rId22" Type="http://schemas.openxmlformats.org/officeDocument/2006/relationships/hyperlink" Target="https://yalebooks.yale.edu/2017/05/23/confronting-american-genocide-on-the-california-coast/" TargetMode="External"/><Relationship Id="rId23" Type="http://schemas.openxmlformats.org/officeDocument/2006/relationships/hyperlink" Target="https://law.resource.org/pub/us/case/reporter/US/412/412.US.481.71-1182.html" TargetMode="External"/><Relationship Id="rId24" Type="http://schemas.openxmlformats.org/officeDocument/2006/relationships/hyperlink" Target="https://www.nps.gov/ulsg/blogs/grants-dispatch-december-1-201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Klamath and Salmon River War 1855 to 1856</dc:title>
  <dc:subject>Historical research on the Red Cap War and its aftermath</dc:subject>
  <dc:creator/>
  <cp:keywords>Klamath River, Salmon River, Red Cap War, Yurok, Karuk, California, 1855, 1856</cp:keywords>
  <dc:description/>
  <cp:lastModifiedBy/>
  <cp:revision>1</cp:revision>
  <dcterms:created xsi:type="dcterms:W3CDTF">2013-12-23T23:15:00Z</dcterms:created>
  <dcterms:modified xsi:type="dcterms:W3CDTF">2013-12-23T23:15:00Z</dcterms:modified>
  <cp:category/>
</cp:coreProperties>
</file>