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Maya History Culture and Timeline</w:t>
      </w:r>
    </w:p>
    <w:p>
      <w:pPr>
        <w:pStyle w:val="Subtitle"/>
      </w:pPr>
      <w:r>
        <w:t>A study of Maya peoples from early farming communities to the present</w:t>
      </w:r>
    </w:p>
    <w:p>
      <w:pPr>
        <w:pStyle w:val="Heading1"/>
      </w:pPr>
      <w:r>
        <w:t>The Maya and their homelands</w:t>
      </w:r>
    </w:p>
    <w:p>
      <w:pPr>
        <w:keepLines/>
      </w:pPr>
      <w:r>
        <w:t>The Maya are Indigenous peoples whose homelands include southern Mexico, Guatemala, Belize and parts of western Honduras and El Salvador. Their history reaches from early farming communities to ancient kingdoms, Spanish colonial rule and the lives of millions of Maya people today. Shared cultural roots connect these peoples, while language, local history and community traditions distinguish them. [1, 3]</w:t>
      </w:r>
    </w:p>
    <w:p>
      <w:r>
        <w:t>Maya society developed across tropical lowlands, volcanic highlands and coastal plains. These environments supported different crops, building materials and trade routes. The ancient Maya formed many kingdoms and alliances rather than a single government ruling the whole Maya world. A capital could dominate neighboring communities without uniting every Maya-speaking people. [3, 5]</w:t>
      </w:r>
    </w:p>
    <w:p>
      <w:r>
        <w:t>Living Maya peoples include the K’iche’, Kaqchikel, Mam, Q’eqchi’, Yucatec Maya, Ch’ol, Tseltal, Tsotsil, Itza and Mopan, among others. Their languages belong to the Mayan language family. These are distinct languages with their own histories. The University of Texas language archive documents this diversity through recordings, stories and other language materials. [2]</w:t>
      </w:r>
    </w:p>
    <w:p>
      <w:pPr>
        <w:pStyle w:val="Heading1"/>
      </w:pPr>
      <w:r>
        <w:t>Early communities and the first cities</w:t>
      </w:r>
    </w:p>
    <w:p>
      <w:pPr>
        <w:keepLines/>
      </w:pPr>
      <w:r>
        <w:t>Archaeologists commonly place the Preclassic period around 2000 BCE to 250 CE. Farming villages developed and expanded during this long span. Over time, some communities became large settlements with public plazas, ceremonial buildings and rulers. These dates describe broad changes that occurred at different times in different places. They do not mark a single founding year for the Maya. [25]</w:t>
      </w:r>
    </w:p>
    <w:p>
      <w:r>
        <w:t>Aguada Fénix in present-day Tabasco, Mexico, shows how early people could organize construction on an enormous scale. Excavations and radiocarbon dating place its great platform between about 1000 and 800 BCE. The researchers found little evidence there for the highly unequal royal society familiar from later Maya capitals. They suggest that large communal projects helped shape early public life, although the organization of that work remains a subject of research. [4]</w:t>
      </w:r>
    </w:p>
    <w:p>
      <w:r>
        <w:t>During the later Preclassic, major centers such as El Mirador in northern Guatemala built huge temples and linked settlements with raised roads. Kaminaljuyu became an important highland center. Cities, royal authority and public monuments therefore had deep roots before the Classic period began. [3, 25]</w:t>
      </w:r>
    </w:p>
    <w:p>
      <w:pPr>
        <w:pStyle w:val="Heading1"/>
      </w:pPr>
      <w:r>
        <w:t>Classic kingdoms and political change</w:t>
      </w:r>
    </w:p>
    <w:p>
      <w:pPr>
        <w:keepLines/>
      </w:pPr>
      <w:r>
        <w:t>The Classic period, usually dated about 250 to 900 CE, saw extensive city building and the widespread use of dated stone monuments. Tikal, Calakmul, Palenque, Copán and other capitals supported royal courts, artists and religious specialists. Buildings included temples, palaces, ball courts and public plazas. Their inscriptions recorded rulers and important events. [5, 22]</w:t>
      </w:r>
    </w:p>
    <w:p>
      <w:r>
        <w:t>Tikal and the Kaan or Snake dynasty associated with Calakmul led competing political networks. Tikal suffered a major defeat in 562 CE. In 695 its ruler Jasaw Chan K’awiil defeated Calakmul, reversing the balance of power. Such conflicts affected allies and smaller kingdoms as well as the largest capitals. [3]</w:t>
      </w:r>
    </w:p>
    <w:p>
      <w:r>
        <w:t>A carved relief from La Pasadita, dated around 770 CE and signed by the sculptor Chakalte’, provides a direct example of political relationships. It shows the local lord Tiloom making an offering to a ruler of Yaxchilán. Its figures and writing present authority as legitimate and honorable. Because a royal patron commissioned such a monument, historians also read it as a political claim rather than an impartial account. [23]</w:t>
      </w:r>
    </w:p>
    <w:p>
      <w:r>
        <w:t>Between roughly the eighth and tenth centuries, many southern lowland kingdoms lost population and political power. Some capitals stopped producing royal inscriptions and maintaining major buildings. Archaeological and climate evidence points to interacting pressures that included warfare, political division, food insecurity and severe drought. Their timing and importance differed by region. A major scholarly review finds that some political problems began before the worst droughts, which makes a single-cause explanation inadequate. [5, 6]</w:t>
      </w:r>
    </w:p>
    <w:p>
      <w:r>
        <w:t>The decline of these kingdoms involved migration and changes in government while Maya communities continued. Northern centers, including Chichén Itzá, became major powers. Later, Mayapán was a leading capital during the thirteenth and fourteenth centuries. Research links its fifteenth-century crisis to drought and factional violence, while also showing that people rebuilt political and economic life outside the city. [7, 22]</w:t>
      </w:r>
    </w:p>
    <w:p>
      <w:pPr>
        <w:pStyle w:val="Heading1"/>
      </w:pPr>
      <w:r>
        <w:t>Spanish conquest and Maya resistance</w:t>
      </w:r>
    </w:p>
    <w:p>
      <w:pPr>
        <w:keepLines/>
      </w:pPr>
      <w:r>
        <w:t>Spanish campaigns against Maya kingdoms spread during the sixteenth century. The conquest of the Guatemalan highlands began in 1524, but Spanish control developed unevenly across the wider Maya region. Warfare, introduced diseases, demands for labor and religious persecution disrupted communities. Some Maya leaders fought the invaders, some negotiated and others made alliances shaped by local rivalries. [3, 8, 9]</w:t>
      </w:r>
    </w:p>
    <w:p>
      <w:r>
        <w:t>In 1562, the Franciscan Diego de Landa directed a campaign in Yucatán that included torture and the burning of Maya books and religious objects at Maní. This destruction removed important written records. Colonial testimony must also be handled carefully because statements obtained through torture or threats cannot simply be accepted as reliable descriptions of Maya belief or practice. [8]</w:t>
      </w:r>
    </w:p>
    <w:p>
      <w:r>
        <w:t>The Itza kingdom in northern Guatemala remained independent long after the first Spanish invasions. On March 13, 1697, Spanish troops captured its island capital, Nojpeten, in Lake Petén Itzá. The fall of this last major independent Maya kingdom did not end local resistance. Forced relocation, disease and further rebellion followed. [9]</w:t>
      </w:r>
    </w:p>
    <w:p>
      <w:r>
        <w:t>Colonial rule and later independence from Spain left many Maya communities facing heavy taxes, land loss and unequal treatment. In 1847, a major rebellion began in Yucatán, commonly called the Caste War. Its causes included disputes over communal land, burdens on villagers and struggles within regional politics. Maya-speaking rebels established independent communities in the southeast. Their political autonomy endured until a major Mexican military offensive in 1901, though that date did not resolve every local conflict. [10, 11]</w:t>
      </w:r>
    </w:p>
    <w:p>
      <w:pPr>
        <w:pStyle w:val="Heading1"/>
      </w:pPr>
      <w:r>
        <w:t>The twentieth century and living Maya peoples</w:t>
      </w:r>
    </w:p>
    <w:p>
      <w:pPr>
        <w:keepLines/>
      </w:pPr>
      <w:r>
        <w:t>Guatemala’s civil war lasted from 1960 to 1996. Maya civilians suffered massacres, displacement and the destruction of communities. The Historical Clarification Commission reported in 1999 that Maya people made up 83 percent of the victims it identified. It found that army attacks against Maya groups between 1981 and 1983 included acts of genocide. These findings describe documented state violence; they do not mean that all Maya people shared one political position during the war. [12, 13]</w:t>
      </w:r>
    </w:p>
    <w:p>
      <w:r>
        <w:t>Rigoberta Menchú Tum, a K’iche’ Maya advocate, received the Nobel Peace Prize in 1992 for her work for social justice and Indigenous rights. Her public work helped draw international attention to the treatment of Indigenous peoples in Guatemala. Peace agreements ended the civil war in 1996, while demands for truth and justice continued. [13, 14]</w:t>
      </w:r>
    </w:p>
    <w:p>
      <w:r>
        <w:t>Maya history also includes continuing efforts to protect land. In Belize, an April 2015 consent order of the Caribbean Court of Justice recognized that Maya customary land tenure in Toledo District creates constitutionally protected property rights. The court’s later judgment addressed the state’s obligations and remedies. This was a specific victory for the affected communities, not a declaration settling all Maya land claims across the region. [15]</w:t>
      </w:r>
    </w:p>
    <w:p>
      <w:r>
        <w:t>Today, Maya people live in rural communities, cities and migrant communities abroad. They work in many occupations and take part in contemporary political and cultural life. Maya organizations promote language, ancestral knowledge and Indigenous rights. The International Maya League describes its work as connecting present needs with inherited knowledge while respecting differences among Maya peoples. [1, 24]</w:t>
      </w:r>
    </w:p>
    <w:p>
      <w:pPr>
        <w:pStyle w:val="Heading1"/>
      </w:pPr>
      <w:r>
        <w:t>Culture and everyday life</w:t>
      </w:r>
    </w:p>
    <w:p>
      <w:pPr>
        <w:keepLines/>
      </w:pPr>
      <w:r>
        <w:rPr>
          <w:b/>
        </w:rPr>
        <w:t xml:space="preserve">Food and land use. </w:t>
      </w:r>
      <w:r>
        <w:t>Maize, beans, squash and chiles are central to many Maya food traditions. The milpa is a system of cultivation that can include mixed crops and a long cycle of managed regrowth. In forest-garden systems, farmers encourage useful plants as fields return to woodland. This requires knowledge of soils, plants and seasonal conditions. Maya agriculture has varied across regions and periods rather than following one fixed method. [16]</w:t>
      </w:r>
    </w:p>
    <w:p>
      <w:r>
        <w:rPr>
          <w:b/>
        </w:rPr>
        <w:t xml:space="preserve">Language and community. </w:t>
      </w:r>
      <w:r>
        <w:t>Language carries family history, oral literature and local knowledge. K’iche’ and Kaqchikel are related, as are Tseltal and Tsotsil, but related languages remain distinct. Language use and the strength of transmission to children vary by community. The materials held by language archives also show Maya people speaking, singing and telling stories in their own languages. [2]</w:t>
      </w:r>
    </w:p>
    <w:p>
      <w:r>
        <w:rPr>
          <w:b/>
        </w:rPr>
        <w:t xml:space="preserve">Writing and books. </w:t>
      </w:r>
      <w:r>
        <w:t>Ancient Maya writing represented spoken language through signs for words and syllables. Scribes wrote on monuments and portable objects as well as in folding books called codices. Decipherment allows historians to identify individuals and events that earlier researchers could not read. The surviving royal texts emphasize the concerns of rulers and their courts, so archaeology remains essential for understanding ordinary households. [17, 23]</w:t>
      </w:r>
    </w:p>
    <w:p>
      <w:r>
        <w:rPr>
          <w:b/>
        </w:rPr>
        <w:t xml:space="preserve">Mathematics and calendars. </w:t>
      </w:r>
      <w:r>
        <w:t>Maya mathematics included a developed use of zero. Their calendars included a 260-day sacred cycle, a 365-day Haab cycle and a Long Count that located events across much longer spans. Calendar names and practices differ by language and region. Some communities continue to consult trained daykeepers. Calendar knowledge connected observations of the sky with ritual and agricultural life. [17, 18]</w:t>
      </w:r>
    </w:p>
    <w:p>
      <w:r>
        <w:rPr>
          <w:b/>
        </w:rPr>
        <w:t xml:space="preserve">Religion and sacred authority. </w:t>
      </w:r>
      <w:r>
        <w:t>Ancient Maya religion recognized many divine beings associated with rain, maize, celestial cycles and other aspects of existence. Kings and queens performed rituals that supported their claims to rule. Some ceremonies included royal bloodletting or human sacrifice, but the form and intensity varied. These practices must be understood through their particular historical settings. [8, 19]</w:t>
      </w:r>
    </w:p>
    <w:p>
      <w:r>
        <w:rPr>
          <w:b/>
        </w:rPr>
        <w:t xml:space="preserve">The Popol Vuh. </w:t>
      </w:r>
      <w:r>
        <w:t>This work preserves a K’iche’ account of creation, origins and spiritual history. The surviving Newberry manuscript was copied by Francisco Ximénez around 1700 to 1715, with K’iche’ text beside a Spanish translation. It preserves older traditions through a colonial manuscript. Its date, language and transmission matter: it should not be treated as an unchanged book shared by every Maya people. [20]</w:t>
      </w:r>
    </w:p>
    <w:p>
      <w:r>
        <w:rPr>
          <w:b/>
        </w:rPr>
        <w:t xml:space="preserve">Art and architecture. </w:t>
      </w:r>
      <w:r>
        <w:t>Maya artists worked in stone, stucco, wood, clay, shell and jade. They created royal portraits, painted vessels and images of divine beings. Some artists signed their work. The traces of pigment preserved on the La Pasadita relief show that sculpture could be brightly colored. Temples and palaces formed part of a built environment that also included ordinary homes and spaces for public activity. [5, 22, 23]</w:t>
      </w:r>
    </w:p>
    <w:p>
      <w:r>
        <w:rPr>
          <w:b/>
        </w:rPr>
        <w:t xml:space="preserve">Weaving and clothing. </w:t>
      </w:r>
      <w:r>
        <w:t>Maya textile traditions continue through skilled work and changing designs. A huipil is a woven or embroidered garment whose form differs across communities. Its colors, patterns and construction can indicate a person’s community, though styles are flexible and change over time. The University of Oklahoma’s collections show marked differences even within a single language group. [21]</w:t>
      </w:r>
    </w:p>
    <w:p>
      <w:pPr>
        <w:pStyle w:val="Heading1"/>
      </w:pPr>
      <w:r>
        <w:t>How historians study Maya history</w:t>
      </w:r>
    </w:p>
    <w:p>
      <w:pPr>
        <w:keepLines/>
      </w:pPr>
      <w:r>
        <w:t>Maya history draws on excavated buildings, household remains, environmental evidence, inscriptions, manuscripts and living testimony. Each source answers different questions. Royal carvings promote rulers, colonial accounts often reflect missionary aims and modern communities bring knowledge that older scholarship overlooked. Comparing these forms of evidence helps explain both political change and the continued lives of Maya peoples. [6, 8, 20, 23, 24]</w:t>
      </w:r>
    </w:p>
    <w:p>
      <w:r>
        <w:br w:type="page"/>
      </w:r>
    </w:p>
    <w:p>
      <w:pPr>
        <w:pStyle w:val="Heading1"/>
      </w:pPr>
      <w:r>
        <w:t>Timeline</w:t>
      </w:r>
    </w:p>
    <w:p>
      <w:r>
        <w:t>Dates marked c are approximate. Period boundaries vary by region. BCE means before the Common Era and CE means Common Era.</w:t>
      </w:r>
    </w:p>
    <w:tbl>
      <w:tblPr>
        <w:tblW w:type="auto" w:w="0"/>
        <w:jc w:val="center"/>
        <w:tblLayout w:type="fixed"/>
        <w:tblLook w:firstColumn="1" w:firstRow="1" w:lastColumn="0" w:lastRow="0" w:noHBand="0" w:noVBand="1" w:val="04A0"/>
      </w:tblPr>
      <w:tblGrid>
        <w:gridCol w:w="2045"/>
        <w:gridCol w:w="7747"/>
      </w:tblGrid>
      <w:tr>
        <w:trPr>
          <w:tblHeader/>
          <w:cantSplit/>
        </w:trPr>
        <w:tc>
          <w:tcPr>
            <w:tcW w:type="dxa" w:w="4896"/>
            <w:shd w:fill="DCE6EF"/>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b/>
                <w:sz w:val="21"/>
              </w:rPr>
              <w:t>Date</w:t>
            </w:r>
          </w:p>
        </w:tc>
        <w:tc>
          <w:tcPr>
            <w:tcW w:type="dxa" w:w="4896"/>
            <w:shd w:fill="DCE6EF"/>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b/>
                <w:sz w:val="21"/>
              </w:rPr>
              <w:t>Event and significance</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2000–1000 BCE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Farming villages expand during the early Preclassic. Regional developments follow different paths. [25]</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1000–800 BCE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People construct the great platform at Aguada Fénix in present-day Tabasco. [4]</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500 BCE–250 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El Mirador becomes a major lowland capital before its decline. [3]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250–900 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The Classic period brings extensive city building, royal courts and dated monuments. [5]</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562 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Tikal is defeated by an alliance led by the Kaan or Snake kingdom. [3]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695 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Tikal’s ruler Jasaw Chan K’awiil defeats Calakmul. [3]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750–950 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Many southern lowland capitals lose power and population. The process varies by city and region. [5, 6]</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770 CE</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Chakalte’ carves the La Pasadita relief depicting a local lord and a Yaxchilán ruler. [23]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900 CE onward</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Political life continues in northern centers and other Maya regions; Chichén Itzá is a major power. [22]</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1200s–1300s</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Mayapán is a leading Postclassic capital in the northern Maya lowlands. [7]</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c 1400–1450</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Drought and factional conflict contribute to Mayapán’s political crisis. Communities reorganize elsewhere. [7]</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1524</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Spanish conquest campaigns begin in the Guatemalan highlands. Conquest elsewhere follows different timelines. [3]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1562</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Diego de Landa’s campaign includes the destruction of Maya books and religious objects at Maní. [8]</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March 13 1697</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Spanish troops capture Nojpeten, the Itza capital in northern Guatemala. [9]</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1847</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The Caste War begins in Yucatán. Maya-speaking rebels later maintain independent polities in the southeast. [10, 11]</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1901</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A Mexican military offensive ends the principal rebel polities’ autonomy in southeastern Yucatán. [11]</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1960–1996</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Guatemala’s civil war brings mass violence and displacement, with Maya civilians heavily affected. [13]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1981–1983</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Army campaigns against Maya groups include acts later identified as genocide by the Historical Clarification Commission. [12]</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1992</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K’iche’ Maya advocate Rigoberta Menchú Tum receives the Nobel Peace Prize. [14]</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1996</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Peace agreements end Guatemala’s civil war. [13]</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1999</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The Historical Clarification Commission issues its report on wartime violence. [12]</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2015</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A Caribbean Court of Justice consent order recognizes constitutionally protected Maya customary land rights in Toledo District, Belize. [15]</w:t>
            </w:r>
          </w:p>
        </w:tc>
      </w:tr>
      <w:tr>
        <w:trPr>
          <w:cantSplit/>
        </w:trPr>
        <w:tc>
          <w:tcPr>
            <w:tcW w:type="dxa" w:w="2045"/>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jc w:val="center"/>
            </w:pPr>
            <w:r>
              <w:rPr>
                <w:sz w:val="21"/>
              </w:rPr>
              <w:t>Present</w:t>
            </w:r>
          </w:p>
        </w:tc>
        <w:tc>
          <w:tcPr>
            <w:tcW w:type="dxa" w:w="7747"/>
            <w:vAlign w:val="center"/>
            <w:tcBorders>
              <w:top w:val="single" w:sz="5" w:color="D9D9D9"/>
              <w:left w:val="single" w:sz="5" w:color="D9D9D9"/>
              <w:bottom w:val="single" w:sz="5" w:color="D9D9D9"/>
              <w:right w:val="single" w:sz="5" w:color="D9D9D9"/>
            </w:tcBorders>
            <w:tcMar>
              <w:top w:w="85" w:type="dxa"/>
              <w:left w:w="105" w:type="dxa"/>
              <w:bottom w:w="85" w:type="dxa"/>
              <w:right w:w="105" w:type="dxa"/>
            </w:tcMar>
          </w:tcPr>
          <w:p>
            <w:pPr>
              <w:spacing w:after="0" w:line="254" w:lineRule="auto"/>
            </w:pPr>
            <w:r>
              <w:rPr>
                <w:sz w:val="21"/>
              </w:rPr>
              <w:t>Millions of Maya people maintain and develop their languages, communities, arts and political organizations. [1, 2, 21, 24]</w:t>
            </w:r>
          </w:p>
        </w:tc>
      </w:tr>
    </w:tbl>
    <w:p>
      <w:pPr>
        <w:pStyle w:val="Heading1"/>
      </w:pPr>
      <w:r>
        <w:t>Sources and links</w:t>
      </w:r>
    </w:p>
    <w:p>
      <w:r>
        <w:t>Numbers in brackets refer to the sources below. Ancient objects, manuscripts and contemporary Maya statements are distinguished from modern historical interpretation. Links were checked on October 26 2026.</w:t>
      </w:r>
    </w:p>
    <w:p>
      <w:pPr>
        <w:keepNext/>
        <w:spacing w:before="140" w:after="40"/>
      </w:pPr>
      <w:r>
        <w:rPr>
          <w:b/>
          <w:sz w:val="21"/>
        </w:rPr>
        <w:t xml:space="preserve">[1] </w:t>
      </w:r>
      <w:r>
        <w:rPr>
          <w:sz w:val="21"/>
        </w:rPr>
        <w:t>Smithsonian National Museum of the American Indian. The Maya. Living Maya Time.</w:t>
      </w:r>
    </w:p>
    <w:p>
      <w:pPr>
        <w:keepNext/>
        <w:spacing w:after="40"/>
      </w:pPr>
      <w:r>
        <w:rPr>
          <w:sz w:val="20"/>
        </w:rPr>
        <w:t>Institutional overview with contemporary Maya testimony.</w:t>
      </w:r>
    </w:p>
    <w:p>
      <w:pPr>
        <w:spacing w:after="100"/>
      </w:pPr>
      <w:hyperlink r:id="rId9">
        <w:r>
          <w:rPr>
            <w:color w:val="245477"/>
            <w:sz w:val="20"/>
          </w:rPr>
          <w:t>https://maya.nmai.si.edu/maya</w:t>
        </w:r>
      </w:hyperlink>
    </w:p>
    <w:p>
      <w:pPr>
        <w:keepNext/>
        <w:spacing w:before="140" w:after="40"/>
      </w:pPr>
      <w:r>
        <w:rPr>
          <w:b/>
          <w:sz w:val="21"/>
        </w:rPr>
        <w:t xml:space="preserve">[2] </w:t>
      </w:r>
      <w:r>
        <w:rPr>
          <w:sz w:val="21"/>
        </w:rPr>
        <w:t>University of Texas at Austin. Mayan. Archive of the Indigenous Languages of Latin America.</w:t>
      </w:r>
    </w:p>
    <w:p>
      <w:pPr>
        <w:keepNext/>
        <w:spacing w:after="40"/>
      </w:pPr>
      <w:r>
        <w:rPr>
          <w:sz w:val="20"/>
        </w:rPr>
        <w:t>Scholarly language atlas and archive guide.</w:t>
      </w:r>
    </w:p>
    <w:p>
      <w:pPr>
        <w:spacing w:after="100"/>
      </w:pPr>
      <w:hyperlink r:id="rId10">
        <w:r>
          <w:rPr>
            <w:color w:val="245477"/>
            <w:sz w:val="20"/>
          </w:rPr>
          <w:t>https://sites.utexas.edu/ailla/mayan/</w:t>
        </w:r>
      </w:hyperlink>
    </w:p>
    <w:p>
      <w:pPr>
        <w:keepNext/>
        <w:spacing w:before="140" w:after="40"/>
      </w:pPr>
      <w:r>
        <w:rPr>
          <w:b/>
          <w:sz w:val="21"/>
        </w:rPr>
        <w:t xml:space="preserve">[3] </w:t>
      </w:r>
      <w:r>
        <w:rPr>
          <w:sz w:val="21"/>
        </w:rPr>
        <w:t>Sharer, Robert. Who Were the Maya. Expedition 54, no 1, 2012.</w:t>
      </w:r>
    </w:p>
    <w:p>
      <w:pPr>
        <w:keepNext/>
        <w:spacing w:after="40"/>
      </w:pPr>
      <w:r>
        <w:rPr>
          <w:sz w:val="20"/>
        </w:rPr>
        <w:t>Archaeological overview by a Maya specialist at the Penn Museum.</w:t>
      </w:r>
    </w:p>
    <w:p>
      <w:pPr>
        <w:spacing w:after="100"/>
      </w:pPr>
      <w:hyperlink r:id="rId11">
        <w:r>
          <w:rPr>
            <w:color w:val="245477"/>
            <w:sz w:val="20"/>
          </w:rPr>
          <w:t>https://www.penn.museum/sites/expedition/who-were-the-maya/</w:t>
        </w:r>
      </w:hyperlink>
    </w:p>
    <w:p>
      <w:pPr>
        <w:keepNext/>
        <w:spacing w:before="140" w:after="40"/>
      </w:pPr>
      <w:r>
        <w:rPr>
          <w:b/>
          <w:sz w:val="21"/>
        </w:rPr>
        <w:t xml:space="preserve">[4] </w:t>
      </w:r>
      <w:r>
        <w:rPr>
          <w:sz w:val="21"/>
        </w:rPr>
        <w:t>Mace, Mikayla. Largest Oldest Maya Monument Suggests Importance of Communal Work. University of Arizona, June 3, 2020.</w:t>
      </w:r>
    </w:p>
    <w:p>
      <w:pPr>
        <w:keepNext/>
        <w:spacing w:after="40"/>
      </w:pPr>
      <w:r>
        <w:rPr>
          <w:sz w:val="20"/>
        </w:rPr>
        <w:t>University account of the Aguada Fénix excavations and radiocarbon dating.</w:t>
      </w:r>
    </w:p>
    <w:p>
      <w:pPr>
        <w:spacing w:after="100"/>
      </w:pPr>
      <w:hyperlink r:id="rId12">
        <w:r>
          <w:rPr>
            <w:color w:val="245477"/>
            <w:sz w:val="20"/>
          </w:rPr>
          <w:t>https://news.arizona.edu/news/largest-oldest-maya-monument-suggests-importance-communal-work</w:t>
        </w:r>
      </w:hyperlink>
    </w:p>
    <w:p>
      <w:pPr>
        <w:keepNext/>
        <w:spacing w:before="140" w:after="40"/>
      </w:pPr>
      <w:r>
        <w:rPr>
          <w:b/>
          <w:sz w:val="21"/>
        </w:rPr>
        <w:t xml:space="preserve">[5] </w:t>
      </w:r>
      <w:r>
        <w:rPr>
          <w:sz w:val="21"/>
        </w:rPr>
        <w:t>University of California Santa Barbara, MesoAmerican Research Center. Classic Period.</w:t>
      </w:r>
    </w:p>
    <w:p>
      <w:pPr>
        <w:keepNext/>
        <w:spacing w:after="40"/>
      </w:pPr>
      <w:r>
        <w:rPr>
          <w:sz w:val="20"/>
        </w:rPr>
        <w:t>University research overview of Classic cities, monuments and political change.</w:t>
      </w:r>
    </w:p>
    <w:p>
      <w:pPr>
        <w:spacing w:after="100"/>
      </w:pPr>
      <w:hyperlink r:id="rId13">
        <w:r>
          <w:rPr>
            <w:color w:val="245477"/>
            <w:sz w:val="20"/>
          </w:rPr>
          <w:t>https://www.marc.ucsb.edu/research/maya/ancient-maya-civilization/classic-period</w:t>
        </w:r>
      </w:hyperlink>
    </w:p>
    <w:p>
      <w:pPr>
        <w:keepNext/>
        <w:spacing w:before="140" w:after="40"/>
      </w:pPr>
      <w:r>
        <w:rPr>
          <w:b/>
          <w:sz w:val="21"/>
        </w:rPr>
        <w:t xml:space="preserve">[6] </w:t>
      </w:r>
      <w:r>
        <w:rPr>
          <w:sz w:val="21"/>
        </w:rPr>
        <w:t>Douglas, Peter M J, Arthur A Demarest, Mark Brenner and Marcello A Canuto. Impacts of Climate Change on the Collapse of Lowland Maya Civilization. Annual Review of Earth and Planetary Sciences 44, 2016, 613–645.</w:t>
      </w:r>
    </w:p>
    <w:p>
      <w:pPr>
        <w:keepNext/>
        <w:spacing w:after="40"/>
      </w:pPr>
      <w:r>
        <w:rPr>
          <w:sz w:val="20"/>
        </w:rPr>
        <w:t>Peer-reviewed review. The public abstract was consulted; full text may require institutional access.</w:t>
      </w:r>
    </w:p>
    <w:p>
      <w:pPr>
        <w:spacing w:after="100"/>
      </w:pPr>
      <w:hyperlink r:id="rId14">
        <w:r>
          <w:rPr>
            <w:color w:val="245477"/>
            <w:sz w:val="20"/>
          </w:rPr>
          <w:t>https://www.annualreviews.org/content/journals/10.1146/annurev-earth-060115-012512</w:t>
        </w:r>
      </w:hyperlink>
    </w:p>
    <w:p>
      <w:pPr>
        <w:keepNext/>
        <w:spacing w:before="140" w:after="40"/>
      </w:pPr>
      <w:r>
        <w:rPr>
          <w:b/>
          <w:sz w:val="21"/>
        </w:rPr>
        <w:t xml:space="preserve">[7] </w:t>
      </w:r>
      <w:r>
        <w:rPr>
          <w:sz w:val="21"/>
        </w:rPr>
        <w:t>Kennett, Douglas J, and colleagues. Drought Induced Civil Conflict Among the Ancient Maya. 2022.</w:t>
      </w:r>
    </w:p>
    <w:p>
      <w:pPr>
        <w:keepNext/>
        <w:spacing w:after="40"/>
      </w:pPr>
      <w:r>
        <w:rPr>
          <w:sz w:val="20"/>
        </w:rPr>
        <w:t>University of Utah record and research abstract for the Mayapán study.</w:t>
      </w:r>
    </w:p>
    <w:p>
      <w:pPr>
        <w:spacing w:after="100"/>
      </w:pPr>
      <w:hyperlink r:id="rId15">
        <w:r>
          <w:rPr>
            <w:color w:val="245477"/>
            <w:sz w:val="20"/>
          </w:rPr>
          <w:t>https://uuac.utah.edu/publications/mccool_7-2022.php</w:t>
        </w:r>
      </w:hyperlink>
    </w:p>
    <w:p>
      <w:pPr>
        <w:keepNext/>
        <w:spacing w:before="140" w:after="40"/>
      </w:pPr>
      <w:r>
        <w:rPr>
          <w:b/>
          <w:sz w:val="21"/>
        </w:rPr>
        <w:t xml:space="preserve">[8] </w:t>
      </w:r>
      <w:r>
        <w:rPr>
          <w:sz w:val="21"/>
        </w:rPr>
        <w:t>Romey, Kristin M. Watery Tombs. Archaeology 58, no 4, July and August 2005.</w:t>
      </w:r>
    </w:p>
    <w:p>
      <w:pPr>
        <w:keepNext/>
        <w:spacing w:after="40"/>
      </w:pPr>
      <w:r>
        <w:rPr>
          <w:sz w:val="20"/>
        </w:rPr>
        <w:t>Archaeological Institute of America account discussing colonial testimony, Landa and material evidence.</w:t>
      </w:r>
    </w:p>
    <w:p>
      <w:pPr>
        <w:spacing w:after="100"/>
      </w:pPr>
      <w:hyperlink r:id="rId16">
        <w:r>
          <w:rPr>
            <w:color w:val="245477"/>
            <w:sz w:val="20"/>
          </w:rPr>
          <w:t>https://archive.archaeology.org/0507/abstracts/maya.html</w:t>
        </w:r>
      </w:hyperlink>
    </w:p>
    <w:p>
      <w:pPr>
        <w:keepNext/>
        <w:spacing w:before="140" w:after="40"/>
      </w:pPr>
      <w:r>
        <w:rPr>
          <w:b/>
          <w:sz w:val="21"/>
        </w:rPr>
        <w:t xml:space="preserve">[9] </w:t>
      </w:r>
      <w:r>
        <w:rPr>
          <w:sz w:val="21"/>
        </w:rPr>
        <w:t>Jones, Grant D. The Conquest of the Last Maya Kingdom. Stanford University Press, 1998.</w:t>
      </w:r>
    </w:p>
    <w:p>
      <w:pPr>
        <w:keepNext/>
        <w:spacing w:after="40"/>
      </w:pPr>
      <w:r>
        <w:rPr>
          <w:sz w:val="20"/>
        </w:rPr>
        <w:t>Wellcome Collection catalog and book description consulted; this link is not unrestricted full text.</w:t>
      </w:r>
    </w:p>
    <w:p>
      <w:pPr>
        <w:spacing w:after="100"/>
      </w:pPr>
      <w:hyperlink r:id="rId17">
        <w:r>
          <w:rPr>
            <w:color w:val="245477"/>
            <w:sz w:val="20"/>
          </w:rPr>
          <w:t>https://wellcomecollection.org/works/n9jhdake</w:t>
        </w:r>
      </w:hyperlink>
    </w:p>
    <w:p>
      <w:pPr>
        <w:keepNext/>
        <w:spacing w:before="140" w:after="40"/>
      </w:pPr>
      <w:r>
        <w:rPr>
          <w:b/>
          <w:sz w:val="21"/>
        </w:rPr>
        <w:t xml:space="preserve">[10] </w:t>
      </w:r>
      <w:r>
        <w:rPr>
          <w:sz w:val="21"/>
        </w:rPr>
        <w:t>Rugeley, Terry. Yucatán’s Maya Peasantry and the Origins of the Caste War. University of Texas Press, 1996.</w:t>
      </w:r>
    </w:p>
    <w:p>
      <w:pPr>
        <w:keepNext/>
        <w:spacing w:after="40"/>
      </w:pPr>
      <w:r>
        <w:rPr>
          <w:sz w:val="20"/>
        </w:rPr>
        <w:t>Publisher description consulted for the book’s account of the war’s causes; full book not supplied on this page.</w:t>
      </w:r>
    </w:p>
    <w:p>
      <w:pPr>
        <w:spacing w:after="100"/>
      </w:pPr>
      <w:hyperlink r:id="rId18">
        <w:r>
          <w:rPr>
            <w:color w:val="245477"/>
            <w:sz w:val="20"/>
          </w:rPr>
          <w:t>https://utpress.utexas.edu/9780292770782/</w:t>
        </w:r>
      </w:hyperlink>
    </w:p>
    <w:p>
      <w:pPr>
        <w:keepNext/>
        <w:spacing w:before="140" w:after="40"/>
      </w:pPr>
      <w:r>
        <w:rPr>
          <w:b/>
          <w:sz w:val="21"/>
        </w:rPr>
        <w:t xml:space="preserve">[11] </w:t>
      </w:r>
      <w:r>
        <w:rPr>
          <w:sz w:val="21"/>
        </w:rPr>
        <w:t>Gabbert, Wolfgang. Caste War Violence Prospect and State of the Art. Introduction to Violence and the Caste War of Yucatán. Cambridge University Press, 2019.</w:t>
      </w:r>
    </w:p>
    <w:p>
      <w:pPr>
        <w:keepNext/>
        <w:spacing w:after="40"/>
      </w:pPr>
      <w:r>
        <w:rPr>
          <w:sz w:val="20"/>
        </w:rPr>
        <w:t>Scholarly introduction with discussion of the rebellion and independent Maya polities.</w:t>
      </w:r>
    </w:p>
    <w:p>
      <w:pPr>
        <w:spacing w:after="100"/>
      </w:pPr>
      <w:hyperlink r:id="rId19">
        <w:r>
          <w:rPr>
            <w:color w:val="245477"/>
            <w:sz w:val="20"/>
          </w:rPr>
          <w:t>https://www.cambridge.org/core/books/violence-and-the-caste-war-of-yucatan/caste-war-violence-prospect-and-state-of-the-art/C005749B5E74ED93C002324633CBCFAD</w:t>
        </w:r>
      </w:hyperlink>
    </w:p>
    <w:p>
      <w:pPr>
        <w:keepNext/>
        <w:spacing w:before="140" w:after="40"/>
      </w:pPr>
      <w:r>
        <w:rPr>
          <w:b/>
          <w:sz w:val="21"/>
        </w:rPr>
        <w:t xml:space="preserve">[12] </w:t>
      </w:r>
      <w:r>
        <w:rPr>
          <w:sz w:val="21"/>
        </w:rPr>
        <w:t>University of Notre Dame, Kroc Institute. Truth or Reconciliation Mechanism 1999. Peace Accords Matrix.</w:t>
      </w:r>
    </w:p>
    <w:p>
      <w:pPr>
        <w:keepNext/>
        <w:spacing w:after="40"/>
      </w:pPr>
      <w:r>
        <w:rPr>
          <w:sz w:val="20"/>
        </w:rPr>
        <w:t>University summary of the Historical Clarification Commission’s findings.</w:t>
      </w:r>
    </w:p>
    <w:p>
      <w:pPr>
        <w:spacing w:after="100"/>
      </w:pPr>
      <w:hyperlink r:id="rId20">
        <w:r>
          <w:rPr>
            <w:color w:val="245477"/>
            <w:sz w:val="20"/>
          </w:rPr>
          <w:t>https://peaceaccords.nd.edu/implementation/truth-or-reconciliation-mechanism-1999-9</w:t>
        </w:r>
      </w:hyperlink>
    </w:p>
    <w:p>
      <w:pPr>
        <w:keepNext/>
        <w:spacing w:before="140" w:after="40"/>
      </w:pPr>
      <w:r>
        <w:rPr>
          <w:b/>
          <w:sz w:val="21"/>
        </w:rPr>
        <w:t xml:space="preserve">[13] </w:t>
      </w:r>
      <w:r>
        <w:rPr>
          <w:sz w:val="21"/>
        </w:rPr>
        <w:t>Center for Justice and Accountability. Guatemala.</w:t>
      </w:r>
    </w:p>
    <w:p>
      <w:pPr>
        <w:keepNext/>
        <w:spacing w:after="40"/>
      </w:pPr>
      <w:r>
        <w:rPr>
          <w:sz w:val="20"/>
        </w:rPr>
        <w:t>Documented historical synthesis of civil war and the commission’s findings.</w:t>
      </w:r>
    </w:p>
    <w:p>
      <w:pPr>
        <w:spacing w:after="100"/>
      </w:pPr>
      <w:hyperlink r:id="rId21">
        <w:r>
          <w:rPr>
            <w:color w:val="245477"/>
            <w:sz w:val="20"/>
          </w:rPr>
          <w:t>https://cja.org/where-we-work/guatemala/</w:t>
        </w:r>
      </w:hyperlink>
    </w:p>
    <w:p>
      <w:pPr>
        <w:keepNext/>
        <w:spacing w:before="140" w:after="40"/>
      </w:pPr>
      <w:r>
        <w:rPr>
          <w:b/>
          <w:sz w:val="21"/>
        </w:rPr>
        <w:t xml:space="preserve">[14] </w:t>
      </w:r>
      <w:r>
        <w:rPr>
          <w:sz w:val="21"/>
        </w:rPr>
        <w:t>Robert and Ethel Kennedy Human Rights Center. Rigoberta Menchú Tum.</w:t>
      </w:r>
    </w:p>
    <w:p>
      <w:pPr>
        <w:keepNext/>
        <w:spacing w:after="40"/>
      </w:pPr>
      <w:r>
        <w:rPr>
          <w:sz w:val="20"/>
        </w:rPr>
        <w:t>Biographical account and an interview with Menchú.</w:t>
      </w:r>
    </w:p>
    <w:p>
      <w:pPr>
        <w:spacing w:after="100"/>
      </w:pPr>
      <w:hyperlink r:id="rId22">
        <w:r>
          <w:rPr>
            <w:color w:val="245477"/>
            <w:sz w:val="20"/>
          </w:rPr>
          <w:t>https://kennedyhumanrights.org/person/rigoberta-menchu-tum/</w:t>
        </w:r>
      </w:hyperlink>
    </w:p>
    <w:p>
      <w:pPr>
        <w:keepNext/>
        <w:spacing w:before="140" w:after="40"/>
      </w:pPr>
      <w:r>
        <w:rPr>
          <w:b/>
          <w:sz w:val="21"/>
        </w:rPr>
        <w:t xml:space="preserve">[15] </w:t>
      </w:r>
      <w:r>
        <w:rPr>
          <w:sz w:val="21"/>
        </w:rPr>
        <w:t>Caribbean Court of Justice. Maya Leaders Alliance and Others v Attorney General of Belize. 2015 CCJ 15 AJ, October 30, 2015.</w:t>
      </w:r>
    </w:p>
    <w:p>
      <w:pPr>
        <w:keepNext/>
        <w:spacing w:after="40"/>
      </w:pPr>
      <w:r>
        <w:rPr>
          <w:sz w:val="20"/>
        </w:rPr>
        <w:t>Primary judicial record, including the April 22 consent order. See especially paragraphs 1–9.</w:t>
      </w:r>
    </w:p>
    <w:p>
      <w:pPr>
        <w:spacing w:after="100"/>
      </w:pPr>
      <w:hyperlink r:id="rId23">
        <w:r>
          <w:rPr>
            <w:color w:val="245477"/>
            <w:sz w:val="20"/>
          </w:rPr>
          <w:t>https://ccj.org/wp-content/uploads/2021/02/2015-CCJ-15AJ.pdf</w:t>
        </w:r>
      </w:hyperlink>
    </w:p>
    <w:p>
      <w:pPr>
        <w:keepNext/>
        <w:spacing w:before="140" w:after="40"/>
      </w:pPr>
      <w:r>
        <w:rPr>
          <w:b/>
          <w:sz w:val="21"/>
        </w:rPr>
        <w:t xml:space="preserve">[16] </w:t>
      </w:r>
      <w:r>
        <w:rPr>
          <w:sz w:val="21"/>
        </w:rPr>
        <w:t>University of California Santa Barbara, MesoAmerican Research Center. Milpa Cycle.</w:t>
      </w:r>
    </w:p>
    <w:p>
      <w:pPr>
        <w:keepNext/>
        <w:spacing w:after="40"/>
      </w:pPr>
      <w:r>
        <w:rPr>
          <w:sz w:val="20"/>
        </w:rPr>
        <w:t>University explanation of farming, managed regrowth and forest-garden cycles.</w:t>
      </w:r>
    </w:p>
    <w:p>
      <w:pPr>
        <w:spacing w:after="100"/>
      </w:pPr>
      <w:hyperlink r:id="rId24">
        <w:r>
          <w:rPr>
            <w:color w:val="245477"/>
            <w:sz w:val="20"/>
          </w:rPr>
          <w:t>https://www.marc.ucsb.edu/research/maya-forest-is-a-garden/maya-forest-gardens/milpa-cycle</w:t>
        </w:r>
      </w:hyperlink>
    </w:p>
    <w:p>
      <w:pPr>
        <w:keepNext/>
        <w:spacing w:before="140" w:after="40"/>
      </w:pPr>
      <w:r>
        <w:rPr>
          <w:b/>
          <w:sz w:val="21"/>
        </w:rPr>
        <w:t xml:space="preserve">[17] </w:t>
      </w:r>
      <w:r>
        <w:rPr>
          <w:sz w:val="21"/>
        </w:rPr>
        <w:t>Pitts, Mark. Writing in Maya Glyphs. Foundation for the Advancement of Mesoamerican Studies.</w:t>
      </w:r>
    </w:p>
    <w:p>
      <w:pPr>
        <w:keepNext/>
        <w:spacing w:after="40"/>
      </w:pPr>
      <w:r>
        <w:rPr>
          <w:sz w:val="20"/>
        </w:rPr>
        <w:t>Introduction and access to guides on writing, numbers and calendars.</w:t>
      </w:r>
    </w:p>
    <w:p>
      <w:pPr>
        <w:spacing w:after="100"/>
      </w:pPr>
      <w:hyperlink r:id="rId25">
        <w:r>
          <w:rPr>
            <w:color w:val="245477"/>
            <w:sz w:val="20"/>
          </w:rPr>
          <w:t>https://www.famsi.org/research/pitts/index.html</w:t>
        </w:r>
      </w:hyperlink>
    </w:p>
    <w:p>
      <w:pPr>
        <w:keepNext/>
        <w:spacing w:before="140" w:after="40"/>
      </w:pPr>
      <w:r>
        <w:rPr>
          <w:b/>
          <w:sz w:val="21"/>
        </w:rPr>
        <w:t xml:space="preserve">[18] </w:t>
      </w:r>
      <w:r>
        <w:rPr>
          <w:sz w:val="21"/>
        </w:rPr>
        <w:t>Smithsonian National Museum of the American Indian. The Calendar System. Living Maya Time.</w:t>
      </w:r>
    </w:p>
    <w:p>
      <w:pPr>
        <w:keepNext/>
        <w:spacing w:after="40"/>
      </w:pPr>
      <w:r>
        <w:rPr>
          <w:sz w:val="20"/>
        </w:rPr>
        <w:t>Institutional account of calendar systems and present-day practices.</w:t>
      </w:r>
    </w:p>
    <w:p>
      <w:pPr>
        <w:spacing w:after="100"/>
      </w:pPr>
      <w:hyperlink r:id="rId26">
        <w:r>
          <w:rPr>
            <w:color w:val="245477"/>
            <w:sz w:val="20"/>
          </w:rPr>
          <w:t>https://maya.nmai.si.edu/calendar/calendar-system</w:t>
        </w:r>
      </w:hyperlink>
    </w:p>
    <w:p>
      <w:pPr>
        <w:keepNext/>
        <w:spacing w:before="140" w:after="40"/>
      </w:pPr>
      <w:r>
        <w:rPr>
          <w:b/>
          <w:sz w:val="21"/>
        </w:rPr>
        <w:t xml:space="preserve">[19] </w:t>
      </w:r>
      <w:r>
        <w:rPr>
          <w:sz w:val="21"/>
        </w:rPr>
        <w:t>Metropolitan Museum of Art. Lives of the Gods Divinity in Maya Art. Visiting Guide.</w:t>
      </w:r>
    </w:p>
    <w:p>
      <w:pPr>
        <w:keepNext/>
        <w:spacing w:after="40"/>
      </w:pPr>
      <w:r>
        <w:rPr>
          <w:sz w:val="20"/>
        </w:rPr>
        <w:t>Curatorial interpretation grounded in Maya artworks and inscriptions.</w:t>
      </w:r>
    </w:p>
    <w:p>
      <w:pPr>
        <w:spacing w:after="100"/>
      </w:pPr>
      <w:hyperlink r:id="rId27">
        <w:r>
          <w:rPr>
            <w:color w:val="245477"/>
            <w:sz w:val="20"/>
          </w:rPr>
          <w:t>https://www.metmuseum.org/exhibitions/gods-divinity-maya-art/visiting-guide</w:t>
        </w:r>
      </w:hyperlink>
    </w:p>
    <w:p>
      <w:pPr>
        <w:keepNext/>
        <w:spacing w:before="140" w:after="40"/>
      </w:pPr>
      <w:r>
        <w:rPr>
          <w:b/>
          <w:sz w:val="21"/>
        </w:rPr>
        <w:t xml:space="preserve">[20] </w:t>
      </w:r>
      <w:r>
        <w:rPr>
          <w:sz w:val="21"/>
        </w:rPr>
        <w:t>Newberry Library. Popol Vuh. Collection Research Guide.</w:t>
      </w:r>
    </w:p>
    <w:p>
      <w:pPr>
        <w:keepNext/>
        <w:spacing w:after="40"/>
      </w:pPr>
      <w:r>
        <w:rPr>
          <w:sz w:val="20"/>
        </w:rPr>
        <w:t>Manuscript history and links to the collection; distinguishes the colonial copy from older traditions.</w:t>
      </w:r>
    </w:p>
    <w:p>
      <w:pPr>
        <w:spacing w:after="100"/>
      </w:pPr>
      <w:hyperlink r:id="rId28">
        <w:r>
          <w:rPr>
            <w:color w:val="245477"/>
            <w:sz w:val="20"/>
          </w:rPr>
          <w:t>https://www.newberry.org/collection/research-guide/popol-vuh</w:t>
        </w:r>
      </w:hyperlink>
    </w:p>
    <w:p>
      <w:pPr>
        <w:keepNext/>
        <w:spacing w:before="140" w:after="40"/>
      </w:pPr>
      <w:r>
        <w:rPr>
          <w:b/>
          <w:sz w:val="21"/>
        </w:rPr>
        <w:t xml:space="preserve">[21] </w:t>
      </w:r>
      <w:r>
        <w:rPr>
          <w:sz w:val="21"/>
        </w:rPr>
        <w:t>University of Oklahoma, Sam Noble Museum. Variation in Huipils.</w:t>
      </w:r>
    </w:p>
    <w:p>
      <w:pPr>
        <w:keepNext/>
        <w:spacing w:after="40"/>
      </w:pPr>
      <w:r>
        <w:rPr>
          <w:sz w:val="20"/>
        </w:rPr>
        <w:t>University museum textile records and interpretation of community differences.</w:t>
      </w:r>
    </w:p>
    <w:p>
      <w:pPr>
        <w:spacing w:after="100"/>
      </w:pPr>
      <w:hyperlink r:id="rId29">
        <w:r>
          <w:rPr>
            <w:color w:val="245477"/>
            <w:sz w:val="20"/>
          </w:rPr>
          <w:t>https://samnoblemuseum.ou.edu/collections-and-research/ethnology/mayan-textiles/pitzer-collection-of-mayan-textiles/regional-variation-in-huipils/</w:t>
        </w:r>
      </w:hyperlink>
    </w:p>
    <w:p>
      <w:pPr>
        <w:keepNext/>
        <w:spacing w:before="140" w:after="40"/>
      </w:pPr>
      <w:r>
        <w:rPr>
          <w:b/>
          <w:sz w:val="21"/>
        </w:rPr>
        <w:t xml:space="preserve">[22] </w:t>
      </w:r>
      <w:r>
        <w:rPr>
          <w:sz w:val="21"/>
        </w:rPr>
        <w:t>Doyle, James. Ancient Maya Sculpture. Metropolitan Museum of Art, April 1, 2016.</w:t>
      </w:r>
    </w:p>
    <w:p>
      <w:pPr>
        <w:keepNext/>
        <w:spacing w:after="40"/>
      </w:pPr>
      <w:r>
        <w:rPr>
          <w:sz w:val="20"/>
        </w:rPr>
        <w:t>Scholarly curatorial essay on materials, artists and royal patronage.</w:t>
      </w:r>
    </w:p>
    <w:p>
      <w:pPr>
        <w:spacing w:after="100"/>
      </w:pPr>
      <w:hyperlink r:id="rId30">
        <w:r>
          <w:rPr>
            <w:color w:val="245477"/>
            <w:sz w:val="20"/>
          </w:rPr>
          <w:t>https://www.metmuseum.org/essays/ancient-maya-sculpture</w:t>
        </w:r>
      </w:hyperlink>
    </w:p>
    <w:p>
      <w:pPr>
        <w:keepNext/>
        <w:spacing w:before="140" w:after="40"/>
      </w:pPr>
      <w:r>
        <w:rPr>
          <w:b/>
          <w:sz w:val="21"/>
        </w:rPr>
        <w:t xml:space="preserve">[23] </w:t>
      </w:r>
      <w:r>
        <w:rPr>
          <w:sz w:val="21"/>
        </w:rPr>
        <w:t>Chakalte’. Relief with Enthroned Ruler. c 770 CE. Metropolitan Museum of Art, object 1979.206.1047.</w:t>
      </w:r>
    </w:p>
    <w:p>
      <w:pPr>
        <w:keepNext/>
        <w:spacing w:after="40"/>
      </w:pPr>
      <w:r>
        <w:rPr>
          <w:sz w:val="20"/>
        </w:rPr>
        <w:t>Primary material source from La Pasadita with a curatorial account by James Doyle, 2015.</w:t>
      </w:r>
    </w:p>
    <w:p>
      <w:pPr>
        <w:spacing w:after="100"/>
      </w:pPr>
      <w:hyperlink r:id="rId31">
        <w:r>
          <w:rPr>
            <w:color w:val="245477"/>
            <w:sz w:val="20"/>
          </w:rPr>
          <w:t>https://www.metmuseum.org/art/collection/search/313240</w:t>
        </w:r>
      </w:hyperlink>
    </w:p>
    <w:p>
      <w:pPr>
        <w:keepNext/>
        <w:spacing w:before="140" w:after="40"/>
      </w:pPr>
      <w:r>
        <w:rPr>
          <w:b/>
          <w:sz w:val="21"/>
        </w:rPr>
        <w:t xml:space="preserve">[24] </w:t>
      </w:r>
      <w:r>
        <w:rPr>
          <w:sz w:val="21"/>
        </w:rPr>
        <w:t>International Maya League. Our Path.</w:t>
      </w:r>
    </w:p>
    <w:p>
      <w:pPr>
        <w:keepNext/>
        <w:spacing w:after="40"/>
      </w:pPr>
      <w:r>
        <w:rPr>
          <w:sz w:val="20"/>
        </w:rPr>
        <w:t>Primary statement of a contemporary Maya organization’s mission and priorities.</w:t>
      </w:r>
    </w:p>
    <w:p>
      <w:pPr>
        <w:spacing w:after="100"/>
      </w:pPr>
      <w:hyperlink r:id="rId32">
        <w:r>
          <w:rPr>
            <w:color w:val="245477"/>
            <w:sz w:val="20"/>
          </w:rPr>
          <w:t>https://www.mayanleague.org/our-path</w:t>
        </w:r>
      </w:hyperlink>
    </w:p>
    <w:p>
      <w:pPr>
        <w:keepNext/>
        <w:spacing w:before="140" w:after="40"/>
      </w:pPr>
      <w:r>
        <w:rPr>
          <w:b/>
          <w:sz w:val="21"/>
        </w:rPr>
        <w:t xml:space="preserve">[25] </w:t>
      </w:r>
      <w:r>
        <w:rPr>
          <w:sz w:val="21"/>
        </w:rPr>
        <w:t>University of California Santa Barbara, MesoAmerican Research Center. Preclassic Period.</w:t>
      </w:r>
    </w:p>
    <w:p>
      <w:pPr>
        <w:keepNext/>
        <w:spacing w:after="40"/>
      </w:pPr>
      <w:r>
        <w:rPr>
          <w:sz w:val="20"/>
        </w:rPr>
        <w:t>University research overview of early agriculture, settlements and public architecture.</w:t>
      </w:r>
    </w:p>
    <w:p>
      <w:pPr>
        <w:spacing w:after="100"/>
      </w:pPr>
      <w:hyperlink r:id="rId33">
        <w:r>
          <w:rPr>
            <w:color w:val="245477"/>
            <w:sz w:val="20"/>
          </w:rPr>
          <w:t>https://www.marc.ucsb.edu/research/maya/ancient-maya-civilization/preclassic-period</w:t>
        </w:r>
      </w:hyperlink>
    </w:p>
    <w:sectPr w:rsidR="00FC693F" w:rsidRPr="0006063C" w:rsidSect="00034616">
      <w:footerReference w:type="default" r:id="rId34"/>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Calibri" w:hAnsi="Calibri"/>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Cambria" w:hAnsi="Cambria"/>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Calibri" w:hAnsi="Calibri"/>
      <w:b/>
      <w:bCs/>
      <w:color w:val="000000"/>
      <w:sz w:val="25"/>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color w:val="000000"/>
      <w:spacing w:val="5"/>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80" w:after="16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aya.nmai.si.edu/maya" TargetMode="External"/><Relationship Id="rId10" Type="http://schemas.openxmlformats.org/officeDocument/2006/relationships/hyperlink" Target="https://sites.utexas.edu/ailla/mayan/" TargetMode="External"/><Relationship Id="rId11" Type="http://schemas.openxmlformats.org/officeDocument/2006/relationships/hyperlink" Target="https://www.penn.museum/sites/expedition/who-were-the-maya/" TargetMode="External"/><Relationship Id="rId12" Type="http://schemas.openxmlformats.org/officeDocument/2006/relationships/hyperlink" Target="https://news.arizona.edu/news/largest-oldest-maya-monument-suggests-importance-communal-work" TargetMode="External"/><Relationship Id="rId13" Type="http://schemas.openxmlformats.org/officeDocument/2006/relationships/hyperlink" Target="https://www.marc.ucsb.edu/research/maya/ancient-maya-civilization/classic-period" TargetMode="External"/><Relationship Id="rId14" Type="http://schemas.openxmlformats.org/officeDocument/2006/relationships/hyperlink" Target="https://www.annualreviews.org/content/journals/10.1146/annurev-earth-060115-012512" TargetMode="External"/><Relationship Id="rId15" Type="http://schemas.openxmlformats.org/officeDocument/2006/relationships/hyperlink" Target="https://uuac.utah.edu/publications/mccool_7-2022.php" TargetMode="External"/><Relationship Id="rId16" Type="http://schemas.openxmlformats.org/officeDocument/2006/relationships/hyperlink" Target="https://archive.archaeology.org/0507/abstracts/maya.html" TargetMode="External"/><Relationship Id="rId17" Type="http://schemas.openxmlformats.org/officeDocument/2006/relationships/hyperlink" Target="https://wellcomecollection.org/works/n9jhdake" TargetMode="External"/><Relationship Id="rId18" Type="http://schemas.openxmlformats.org/officeDocument/2006/relationships/hyperlink" Target="https://utpress.utexas.edu/9780292770782/" TargetMode="External"/><Relationship Id="rId19" Type="http://schemas.openxmlformats.org/officeDocument/2006/relationships/hyperlink" Target="https://www.cambridge.org/core/books/violence-and-the-caste-war-of-yucatan/caste-war-violence-prospect-and-state-of-the-art/C005749B5E74ED93C002324633CBCFAD" TargetMode="External"/><Relationship Id="rId20" Type="http://schemas.openxmlformats.org/officeDocument/2006/relationships/hyperlink" Target="https://peaceaccords.nd.edu/implementation/truth-or-reconciliation-mechanism-1999-9" TargetMode="External"/><Relationship Id="rId21" Type="http://schemas.openxmlformats.org/officeDocument/2006/relationships/hyperlink" Target="https://cja.org/where-we-work/guatemala/" TargetMode="External"/><Relationship Id="rId22" Type="http://schemas.openxmlformats.org/officeDocument/2006/relationships/hyperlink" Target="https://kennedyhumanrights.org/person/rigoberta-menchu-tum/" TargetMode="External"/><Relationship Id="rId23" Type="http://schemas.openxmlformats.org/officeDocument/2006/relationships/hyperlink" Target="https://ccj.org/wp-content/uploads/2021/02/2015-CCJ-15AJ.pdf" TargetMode="External"/><Relationship Id="rId24" Type="http://schemas.openxmlformats.org/officeDocument/2006/relationships/hyperlink" Target="https://www.marc.ucsb.edu/research/maya-forest-is-a-garden/maya-forest-gardens/milpa-cycle" TargetMode="External"/><Relationship Id="rId25" Type="http://schemas.openxmlformats.org/officeDocument/2006/relationships/hyperlink" Target="https://www.famsi.org/research/pitts/index.html" TargetMode="External"/><Relationship Id="rId26" Type="http://schemas.openxmlformats.org/officeDocument/2006/relationships/hyperlink" Target="https://maya.nmai.si.edu/calendar/calendar-system" TargetMode="External"/><Relationship Id="rId27" Type="http://schemas.openxmlformats.org/officeDocument/2006/relationships/hyperlink" Target="https://www.metmuseum.org/exhibitions/gods-divinity-maya-art/visiting-guide" TargetMode="External"/><Relationship Id="rId28" Type="http://schemas.openxmlformats.org/officeDocument/2006/relationships/hyperlink" Target="https://www.newberry.org/collection/research-guide/popol-vuh" TargetMode="External"/><Relationship Id="rId29" Type="http://schemas.openxmlformats.org/officeDocument/2006/relationships/hyperlink" Target="https://samnoblemuseum.ou.edu/collections-and-research/ethnology/mayan-textiles/pitzer-collection-of-mayan-textiles/regional-variation-in-huipils/" TargetMode="External"/><Relationship Id="rId30" Type="http://schemas.openxmlformats.org/officeDocument/2006/relationships/hyperlink" Target="https://www.metmuseum.org/essays/ancient-maya-sculpture" TargetMode="External"/><Relationship Id="rId31" Type="http://schemas.openxmlformats.org/officeDocument/2006/relationships/hyperlink" Target="https://www.metmuseum.org/art/collection/search/313240" TargetMode="External"/><Relationship Id="rId32" Type="http://schemas.openxmlformats.org/officeDocument/2006/relationships/hyperlink" Target="https://www.mayanleague.org/our-path" TargetMode="External"/><Relationship Id="rId33" Type="http://schemas.openxmlformats.org/officeDocument/2006/relationships/hyperlink" Target="https://www.marc.ucsb.edu/research/maya/ancient-maya-civilization/preclassic-period"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ns0:coreProperties xmlns:dc="http://purl.org/dc/elements/1.1/" xmlns:ns0="http://schemas.openxmlformats.org/package/2006/metadata/core-properties" xmlns:ns2="http://purl.org/dc/terms/" xmlns:xsi="http://www.w3.org/2001/XMLSchema-instance">
  <dc:title>Maya History Culture and Timeline</dc:title>
  <dc:subject>Maya peoples from early communities to the present</dc:subject>
  <dc:creator/>
  <ns0:keywords>Maya, Indigenous history, Mesoamerica, culture, timeline</ns0:keywords>
  <dc:description>generated by python-docx</dc:description>
  <ns0:lastModifiedBy/>
  <ns0:revision>1</ns0:revision>
  <ns2:created xsi:type="dcterms:W3CDTF">2013-12-23T23:15:00Z</ns2:created>
  <ns2:modified xsi:type="dcterms:W3CDTF">2013-12-23T23:15:00Z</ns2:modified>
  <ns0:category/>
</ns0:coreProperties>
</file>