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Tillamook History Culture and Timeline</w:t>
      </w:r>
    </w:p>
    <w:p>
      <w:pPr>
        <w:pStyle w:val="Subtitle"/>
      </w:pPr>
      <w:r>
        <w:t>Native communities of the northern Oregon Coast</w:t>
      </w:r>
    </w:p>
    <w:p>
      <w:r>
        <w:t>The Tillamook are Indigenous people of the Oregon Coast whose ancestral language belongs to the Salishan language family. Their history includes independent coastal villages, skilled use of rivers and the ocean, severe losses from introduced diseases and continued community life after settlers took their lands. Tillamook heritage continues through descendants in several communities, including the Confederated Tribes of Siletz Indians, the Confederated Tribes of Grand Ronde and the Clatsop-Nehalem Confederated Tribes. [1–3]</w:t>
      </w:r>
    </w:p>
    <w:p>
      <w:r>
        <w:t>This study explains their homelands, daily life and oral traditions, then follows the changes brought by foreign ships, American settlement and federal Indian policy. Numbered citations connect the text and timeline to the sources at the end.</w:t>
      </w:r>
    </w:p>
    <w:p>
      <w:pPr>
        <w:pStyle w:val="Heading1"/>
      </w:pPr>
      <w:r>
        <w:t>Homelands and community identities</w:t>
      </w:r>
    </w:p>
    <w:p>
      <w:r>
        <w:t>Tillamook communities lived along coastal rivers, bays and estuaries south of the lower Columbia River. Their settlements included the Nehalem and Tillamook Bay areas, Netarts and Nestucca, with related Tillamook-speaking communities farther south around Salmon River and Siletz. These waterways provided food and routes between the shore, forest and nearby mountains. An estuary is the place where a river meets the sea. [2–4]</w:t>
      </w:r>
    </w:p>
    <w:p>
      <w:r>
        <w:t>The word Tillamook comes from Chinook usage for the people of Nekelim, or Nehalem. It became a broad name for related communities. Local people also identified themselves through particular villages and rivers. These identities did not always fit the fixed tribal divisions that government officials and later writers used. The Siletz Tribe identifies Nehalem, Nestucca, Salmon River and Siletz among the more specific affiliations covered by the general Tillamook name. [1–2]</w:t>
      </w:r>
    </w:p>
    <w:p>
      <w:r>
        <w:t>Language and political identity need to be kept distinct. Tillamook was Salishan, while neighboring Clatsop people originally spoke a Chinookan language. Marriage, shared places and trade closely connected them. Archaeological evidence shows a long history of coastal occupation, but the age of a site does not by itself prove that its earliest residents used a particular modern tribal name or language. [3, 10]</w:t>
      </w:r>
    </w:p>
    <w:p>
      <w:pPr>
        <w:pStyle w:val="Heading1"/>
      </w:pPr>
      <w:r>
        <w:t>Food homes and practical knowledge</w:t>
      </w:r>
    </w:p>
    <w:p>
      <w:r>
        <w:t>Cedar plank houses provided permanent village homes. Families relied on salmon, lampreys, shellfish and other foods from the water, along with berries, camas and hunted animals such as deer and elk. Their economy drew on several environments rather than a single food supply. [4]</w:t>
      </w:r>
    </w:p>
    <w:p>
      <w:r>
        <w:t>Coastal life followed seasonal opportunities. People moved between established settlements and places where particular foods could be gathered or caught. Nets, traps and weirs helped harvest fish. A weir is a barrier that guides fish toward an opening or trap. Processing and storing food helped households prepare for seasons when fresh supplies were harder to obtain. These practices belonged to a wider coastal economy, with local differences in technique and resources. [5]</w:t>
      </w:r>
    </w:p>
    <w:p>
      <w:r>
        <w:t>Canoes carried people and goods along rivers, across bays and into coastal waters. Tillamook canoe workmanship impressed Lewis and Clark. Basket making was also a major skill. Together, watercraft and containers made it possible to gather, transport and exchange food efficiently. These were practical technologies that required detailed knowledge of wood, plant fibers and local water conditions. [8]</w:t>
      </w:r>
    </w:p>
    <w:p>
      <w:pPr>
        <w:pStyle w:val="Heading1"/>
      </w:pPr>
      <w:r>
        <w:t>Family leadership and social rank</w:t>
      </w:r>
    </w:p>
    <w:p>
      <w:r>
        <w:t>The village was an important political unit. The Siletz Tribe describes the region’s headmen as organizers and mediators who helped settle disputes and arrange work. Their authority was generally different from that of a European king. Family relationships also connected people across village boundaries, helping them maintain ties through marriage and exchange. [2–3]</w:t>
      </w:r>
    </w:p>
    <w:p>
      <w:r>
        <w:t>Coastal societies had differences in wealth and inherited standing. Slavery existed among the Tillamook, although a regional history describes it as less common than among neighboring Chinook and Clatsop communities. Captives could be bought, sold or inherited. This part of social life belongs in a full account alongside cooperation, artistic work and family obligations. [5]</w:t>
      </w:r>
    </w:p>
    <w:p>
      <w:pPr>
        <w:pStyle w:val="Heading1"/>
      </w:pPr>
      <w:r>
        <w:t>Basketry and cultural change</w:t>
      </w:r>
    </w:p>
    <w:p>
      <w:r>
        <w:t>Tillamook basketry continued as life changed under American settlement. Anthropologist Ailsa Elizabeth Crawford studied the Adams Collection at the Tillamook County Pioneer Museum. Its 29 baskets, probably made between 1880 and 1940, were mostly small and made with raffia in commercial colors. They were documented as the work of Tillamook women, yet collectors and researchers had often overlooked them because their appearance did not match expectations of traditional Native art. [6]</w:t>
      </w:r>
    </w:p>
    <w:p>
      <w:r>
        <w:t>The collection shows why cultural change requires careful study. New materials do not automatically make an object less connected to the people who made it. Crawford compared these baskets with earlier examples, examining materials, stitches, shapes and decorative techniques. Her research provides a way to study continued craftsmanship as well as change. [6]</w:t>
      </w:r>
    </w:p>
    <w:p>
      <w:pPr>
        <w:pStyle w:val="Heading1"/>
      </w:pPr>
      <w:r>
        <w:t>Language stories and spiritual life</w:t>
      </w:r>
    </w:p>
    <w:p>
      <w:r>
        <w:t>Tillamook oral traditions connect people, powerful beings and familiar places. In a story published by Franz Boas in 1898, a man goes salmon fishing on Slab Creek and encounters the Thunderer. The setting brings spiritual power into a landscape where people worked and obtained food. Boas collected the traditions at Siletz in 1890. His publication preserves valuable evidence, but its English wording and interpretation also reflect an outside recorder. [1]</w:t>
      </w:r>
    </w:p>
    <w:p>
      <w:r>
        <w:t>Clara Pearson was a central source of Nehalem Tillamook knowledge in the twentieth century. Elizabeth Derr Jacobs worked with her in 1933 on accounts of community life, dreams and healing practices, then returned in 1934 to record stories. Pearson’s direction helped shape the interviews. Her narratives appeared in Nehalem Tillamook Tales in 1959, while The Nehalem Tillamook An Ethnography was published in 2003. These works depend on Pearson’s knowledge and skill as a storyteller. [7]</w:t>
      </w:r>
    </w:p>
    <w:p>
      <w:r>
        <w:t>Such records are especially valuable for studying language and beliefs after decades of disruption. They also have limits. One person’s recollections cannot represent every village or every period. Descriptions of older customs should therefore be read in relation to the speaker, the place and the circumstances in which the record was made. [1, 7]</w:t>
      </w:r>
    </w:p>
    <w:p>
      <w:pPr>
        <w:pStyle w:val="Heading1"/>
      </w:pPr>
      <w:r>
        <w:t>Ships trade and introduced disease</w:t>
      </w:r>
    </w:p>
    <w:p>
      <w:r>
        <w:t>In August 1788, Captain Robert Gray’s Lady Washington visited Tillamook Bay. A violent encounter followed, and a member of Gray’s party, Marcos Lopez, was killed. Gray’s name for the harbor reflected the visiting crew’s view of that event. The episode illustrates how early maritime contact could combine efforts to obtain supplies with conflict. [8]</w:t>
      </w:r>
    </w:p>
    <w:p>
      <w:r>
        <w:t>In January 1806, William Clark traveled south from Fort Clatsop toward a whale stranded near present-day Cannon Beach. Tillamook people had already processed much of it. Clark wanted meat, blubber and oil, but found that the traders had little interest in many of his goods. They had their own plans for exchange, including obtaining wapato roots through regional trade. [9]</w:t>
      </w:r>
    </w:p>
    <w:p>
      <w:r>
        <w:t>Historian James Ronda explains that the explorers sometimes misunderstood coastal identities. Tillamook speakers used Chinook trade language with outsiders, which helped obscure their different language background. The journals are useful firsthand evidence, but they do not always classify communities accurately. [10]</w:t>
      </w:r>
    </w:p>
    <w:p>
      <w:r>
        <w:t>Introduced diseases killed many Tillamook people. Epidemics in the 1830s were especially damaging. These losses weakened households and communities before large numbers of American settlers arrived. Early population reports used different boundaries and methods, so they should be treated as estimates rather than a consistent census. [4, 20]</w:t>
      </w:r>
    </w:p>
    <w:p>
      <w:pPr>
        <w:pStyle w:val="Heading1"/>
      </w:pPr>
      <w:r>
        <w:t>Treaties reservations and land loss</w:t>
      </w:r>
    </w:p>
    <w:p>
      <w:r>
        <w:t>In August 1851, federal officials negotiated the Tansy Point treaties near the Columbia River’s mouth. The participants included Nehalem and other Tillamook representatives. The agreements were never ratified by the United States. The promised arrangements therefore did not provide the protection that Native participants expected as settlement advanced. [11, 20]</w:t>
      </w:r>
    </w:p>
    <w:p>
      <w:r>
        <w:t>A contemporary newspaper account, preserved with Oregon Indian Affairs correspondence, described the negotiations as completed land cessions. That wording shows how quickly American reports presented Native territory as available. It must be read alongside the later legal fact that the treaties were not ratified. The report records an American claim about acquisition, not proof that every promised term became binding or was carried out. [20]</w:t>
      </w:r>
    </w:p>
    <w:p>
      <w:r>
        <w:t>On November 9, 1855, President Franklin Pierce established the Coast Reservation by executive order. It covered more than a million acres in western Oregon. Subsequent government actions repeatedly reduced it. The Grand Ronde and Siletz agencies administered communities brought together from many different peoples, and Grand Ronde became a separate reservation in 1857. [12]</w:t>
      </w:r>
    </w:p>
    <w:p>
      <w:r>
        <w:t>Tillamook families experienced this process in different ways. Some became part of the reservation communities. David Lewis documents members of the Nehalem, Nestucca, Salmon River and Tillamook communities joining Grand Ronde between the 1860s and 1890s. Others continued living on the coast. It would be inaccurate to give every Tillamook family the same removal date or destination. [13–15]</w:t>
      </w:r>
    </w:p>
    <w:p>
      <w:pPr>
        <w:pStyle w:val="Heading1"/>
      </w:pPr>
      <w:r>
        <w:t>Coastal communities that continued</w:t>
      </w:r>
    </w:p>
    <w:p>
      <w:r>
        <w:t>At Hobsonville on Tillamook Bay, Chief Illga and other displaced families formed a community near the growing lumber and salmon-packing settlement. By the 1870s, it offered a place for Tillamook and some Clatsop families to regroup. In 1890, Illga arranged to purchase the village site. Residents maintained Tillamook language, stories and a hereditary chieftainship, and later worked with researchers recording their knowledge. [14]</w:t>
      </w:r>
    </w:p>
    <w:p>
      <w:r>
        <w:t>Seaside’s Indian Place was another center of continued coastal life. Clatsop and Nehalem-Tillamook families gathered there after losing access to other homes. Chiefs Kotata and Dunkle helped lead the community. In 1879, Tsin-is-tum, also known as Jennie Michel, and her husband Michel Martineau purchased the village property. Their land and nearby Native holdings became a reserve created through private ownership. [15]</w:t>
      </w:r>
    </w:p>
    <w:p>
      <w:r>
        <w:t>These communities depended on families who secured places to live and kept relationships active despite displacement. Their history explains how language and oral knowledge continued outside federally administered reservations. [14–15]</w:t>
      </w:r>
    </w:p>
    <w:p>
      <w:pPr>
        <w:pStyle w:val="Heading1"/>
      </w:pPr>
      <w:r>
        <w:t>Termination restoration and community life today</w:t>
      </w:r>
    </w:p>
    <w:p>
      <w:r>
        <w:t>The Western Oregon Indian Termination Act of 1954 ended federal relationships with numerous western Oregon tribal communities through a process implemented during the following years. Termination threatened landholding, services and organized political life. Family networks continued, and Native leaders worked to rebuild federal relationships. [13, 16]</w:t>
      </w:r>
    </w:p>
    <w:p>
      <w:r>
        <w:t>The Confederated Tribes of Siletz Indians regained federal recognition on November 18, 1977. Grand Ronde regained recognition on November 22, 1983. These restorations concerned confederations with many ancestral peoples, including Tillamook descendants. They did not create a single new government representing every person of Tillamook ancestry. [2–3, 16–17]</w:t>
      </w:r>
    </w:p>
    <w:p>
      <w:r>
        <w:t>Cultural work remains part of tribal community life. The Siletz cultural program documents history, protects ancestral sites and collections, teaches arts and holds gatherings for families. Its language instruction emphasizes Siletz Athabaskan. That language belongs to a different family from ancestral Tillamook Salishan, so the two should not be confused. [1, 18]</w:t>
      </w:r>
    </w:p>
    <w:p>
      <w:r>
        <w:t>On May 5, 2020, North Coast Land Conservancy transferred 18.6 acres at Neawanna Point in Seaside to the Clatsop-Nehalem Confederated Tribes. The land includes saltmarsh and Sitka spruce forest at the Necanicum Estuary. This return of land to a living descendant community gives a recent example of continued connections to ancestral places. [19]</w:t>
      </w:r>
    </w:p>
    <w:p>
      <w:pPr>
        <w:pStyle w:val="Heading1"/>
      </w:pPr>
      <w:r>
        <w:t>People to know</w:t>
      </w:r>
    </w:p>
    <w:p>
      <w:pPr>
        <w:pStyle w:val="ListBullet"/>
      </w:pPr>
      <w:r>
        <w:t>Chief Kilchis was a leading Tillamook Bay figure during the period when American settlers entered the area. [14]</w:t>
      </w:r>
    </w:p>
    <w:p>
      <w:pPr>
        <w:pStyle w:val="ListBullet"/>
      </w:pPr>
      <w:r>
        <w:t>Chief Illga helped establish Hobsonville as a home for displaced families and arranged the village land purchase. [14]</w:t>
      </w:r>
    </w:p>
    <w:p>
      <w:pPr>
        <w:pStyle w:val="ListBullet"/>
      </w:pPr>
      <w:r>
        <w:t>Kóshtawah, also known as Maggie Adams, married Illga and became a matriarch of the Hobsonville community. Her family connections linked Clatsop and Tillamook histories. [21]</w:t>
      </w:r>
    </w:p>
    <w:p>
      <w:pPr>
        <w:pStyle w:val="ListBullet"/>
      </w:pPr>
      <w:r>
        <w:t>Clara Pearson preserved Nehalem Tillamook stories and detailed knowledge of community life through her work with Elizabeth Derr Jacobs. [7]</w:t>
      </w:r>
    </w:p>
    <w:p>
      <w:pPr>
        <w:pStyle w:val="ListBullet"/>
      </w:pPr>
      <w:r>
        <w:t>Tsin-is-tum, or Jennie Michel, helped sustain Seaside’s Indian Place through landownership and support for other Native families. [15]</w:t>
      </w:r>
    </w:p>
    <w:p>
      <w:pPr>
        <w:pStyle w:val="Heading1"/>
      </w:pPr>
      <w:r>
        <w:t>Timeline</w:t>
      </w:r>
    </w:p>
    <w:p>
      <w:r>
        <w:t>Early dates describe regional occupation or recorded encounters. Later entries follow several communities with Tillamook ancestry rather than one continuous tribal government.</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016"/>
        <w:gridCol w:w="7776"/>
      </w:tblGrid>
      <w:tr>
        <w:trPr>
          <w:cantSplit/>
          <w:tblHeader/>
        </w:trPr>
        <w:tc>
          <w:tcPr>
            <w:tcW w:type="dxa" w:w="2016"/>
            <w:vAlign w:val="center"/>
            <w:shd w:fill="E7EDF2"/>
            <w:tcMar>
              <w:top w:w="90" w:type="dxa"/>
              <w:bottom w:w="90" w:type="dxa"/>
              <w:left w:w="105" w:type="dxa"/>
              <w:right w:w="105" w:type="dxa"/>
            </w:tcMar>
          </w:tcPr>
          <w:p>
            <w:pPr>
              <w:spacing w:after="0" w:line="250" w:lineRule="auto"/>
              <w:jc w:val="center"/>
            </w:pPr>
            <w:r>
              <w:rPr>
                <w:b/>
                <w:sz w:val="21"/>
              </w:rPr>
              <w:t>Date or period</w:t>
            </w:r>
          </w:p>
        </w:tc>
        <w:tc>
          <w:tcPr>
            <w:tcW w:type="dxa" w:w="7776"/>
            <w:vAlign w:val="center"/>
            <w:shd w:fill="E7EDF2"/>
            <w:tcMar>
              <w:top w:w="90" w:type="dxa"/>
              <w:bottom w:w="90" w:type="dxa"/>
              <w:left w:w="105" w:type="dxa"/>
              <w:right w:w="105" w:type="dxa"/>
            </w:tcMar>
          </w:tcPr>
          <w:p>
            <w:pPr>
              <w:spacing w:after="0" w:line="250" w:lineRule="auto"/>
              <w:jc w:val="left"/>
            </w:pPr>
            <w:r>
              <w:rPr>
                <w:b/>
                <w:sz w:val="21"/>
              </w:rPr>
              <w:t>Event</w:t>
            </w:r>
          </w:p>
        </w:tc>
      </w:tr>
      <w:tr>
        <w:trPr>
          <w:cantSplit/>
        </w:trPr>
        <w:tc>
          <w:tcPr>
            <w:tcW w:type="dxa" w:w="2016"/>
            <w:vAlign w:val="center"/>
            <w:shd w:fill="FFFFFF"/>
            <w:tcMar>
              <w:top w:w="90" w:type="dxa"/>
              <w:bottom w:w="90" w:type="dxa"/>
              <w:left w:w="105" w:type="dxa"/>
              <w:right w:w="105" w:type="dxa"/>
            </w:tcMar>
          </w:tcPr>
          <w:p>
            <w:pPr>
              <w:spacing w:after="0" w:line="250" w:lineRule="auto"/>
              <w:jc w:val="center"/>
            </w:pPr>
            <w:r>
              <w:rPr>
                <w:b w:val="0"/>
                <w:sz w:val="21"/>
              </w:rPr>
              <w:t>Before European contact</w:t>
            </w:r>
          </w:p>
        </w:tc>
        <w:tc>
          <w:tcPr>
            <w:tcW w:type="dxa" w:w="7776"/>
            <w:vAlign w:val="center"/>
            <w:shd w:fill="FFFFFF"/>
            <w:tcMar>
              <w:top w:w="90" w:type="dxa"/>
              <w:bottom w:w="90" w:type="dxa"/>
              <w:left w:w="105" w:type="dxa"/>
              <w:right w:w="105" w:type="dxa"/>
            </w:tcMar>
          </w:tcPr>
          <w:p>
            <w:pPr>
              <w:spacing w:after="0" w:line="250" w:lineRule="auto"/>
              <w:jc w:val="left"/>
            </w:pPr>
            <w:r>
              <w:rPr>
                <w:b w:val="0"/>
                <w:sz w:val="21"/>
              </w:rPr>
              <w:t>Related coastal communities live near bays and rivers, maintaining local identities and extensive exchange networks. [1–3]</w:t>
            </w:r>
          </w:p>
        </w:tc>
      </w:tr>
      <w:tr>
        <w:trPr>
          <w:cantSplit/>
        </w:trPr>
        <w:tc>
          <w:tcPr>
            <w:tcW w:type="dxa" w:w="2016"/>
            <w:vAlign w:val="center"/>
            <w:shd w:fill="F7F8FA"/>
            <w:tcMar>
              <w:top w:w="90" w:type="dxa"/>
              <w:bottom w:w="90" w:type="dxa"/>
              <w:left w:w="105" w:type="dxa"/>
              <w:right w:w="105" w:type="dxa"/>
            </w:tcMar>
          </w:tcPr>
          <w:p>
            <w:pPr>
              <w:spacing w:after="0" w:line="250" w:lineRule="auto"/>
              <w:jc w:val="center"/>
            </w:pPr>
            <w:r>
              <w:rPr>
                <w:b w:val="0"/>
                <w:sz w:val="21"/>
              </w:rPr>
              <w:t>August 1788</w:t>
            </w:r>
          </w:p>
        </w:tc>
        <w:tc>
          <w:tcPr>
            <w:tcW w:type="dxa" w:w="7776"/>
            <w:vAlign w:val="center"/>
            <w:shd w:fill="F7F8FA"/>
            <w:tcMar>
              <w:top w:w="90" w:type="dxa"/>
              <w:bottom w:w="90" w:type="dxa"/>
              <w:left w:w="105" w:type="dxa"/>
              <w:right w:w="105" w:type="dxa"/>
            </w:tcMar>
          </w:tcPr>
          <w:p>
            <w:pPr>
              <w:spacing w:after="0" w:line="250" w:lineRule="auto"/>
              <w:jc w:val="left"/>
            </w:pPr>
            <w:r>
              <w:rPr>
                <w:b w:val="0"/>
                <w:sz w:val="21"/>
              </w:rPr>
              <w:t>Robert Gray visits Tillamook Bay aboard the Lady Washington. A violent encounter leaves Marcos Lopez dead. [8]</w:t>
            </w:r>
          </w:p>
        </w:tc>
      </w:tr>
      <w:tr>
        <w:trPr>
          <w:cantSplit/>
        </w:trPr>
        <w:tc>
          <w:tcPr>
            <w:tcW w:type="dxa" w:w="2016"/>
            <w:vAlign w:val="center"/>
            <w:shd w:fill="FFFFFF"/>
            <w:tcMar>
              <w:top w:w="90" w:type="dxa"/>
              <w:bottom w:w="90" w:type="dxa"/>
              <w:left w:w="105" w:type="dxa"/>
              <w:right w:w="105" w:type="dxa"/>
            </w:tcMar>
          </w:tcPr>
          <w:p>
            <w:pPr>
              <w:spacing w:after="0" w:line="250" w:lineRule="auto"/>
              <w:jc w:val="center"/>
            </w:pPr>
            <w:r>
              <w:rPr>
                <w:b w:val="0"/>
                <w:sz w:val="21"/>
              </w:rPr>
              <w:t>January 1806</w:t>
            </w:r>
          </w:p>
        </w:tc>
        <w:tc>
          <w:tcPr>
            <w:tcW w:type="dxa" w:w="7776"/>
            <w:vAlign w:val="center"/>
            <w:shd w:fill="FFFFFF"/>
            <w:tcMar>
              <w:top w:w="90" w:type="dxa"/>
              <w:bottom w:w="90" w:type="dxa"/>
              <w:left w:w="105" w:type="dxa"/>
              <w:right w:w="105" w:type="dxa"/>
            </w:tcMar>
          </w:tcPr>
          <w:p>
            <w:pPr>
              <w:spacing w:after="0" w:line="250" w:lineRule="auto"/>
              <w:jc w:val="left"/>
            </w:pPr>
            <w:r>
              <w:rPr>
                <w:b w:val="0"/>
                <w:sz w:val="21"/>
              </w:rPr>
              <w:t>Clark travels toward present-day Cannon Beach to obtain products from a stranded whale. [9]</w:t>
            </w:r>
          </w:p>
        </w:tc>
      </w:tr>
      <w:tr>
        <w:trPr>
          <w:cantSplit/>
        </w:trPr>
        <w:tc>
          <w:tcPr>
            <w:tcW w:type="dxa" w:w="2016"/>
            <w:vAlign w:val="center"/>
            <w:shd w:fill="F7F8FA"/>
            <w:tcMar>
              <w:top w:w="90" w:type="dxa"/>
              <w:bottom w:w="90" w:type="dxa"/>
              <w:left w:w="105" w:type="dxa"/>
              <w:right w:w="105" w:type="dxa"/>
            </w:tcMar>
          </w:tcPr>
          <w:p>
            <w:pPr>
              <w:spacing w:after="0" w:line="250" w:lineRule="auto"/>
              <w:jc w:val="center"/>
            </w:pPr>
            <w:r>
              <w:rPr>
                <w:b w:val="0"/>
                <w:sz w:val="21"/>
              </w:rPr>
              <w:t>1830s</w:t>
            </w:r>
          </w:p>
        </w:tc>
        <w:tc>
          <w:tcPr>
            <w:tcW w:type="dxa" w:w="7776"/>
            <w:vAlign w:val="center"/>
            <w:shd w:fill="F7F8FA"/>
            <w:tcMar>
              <w:top w:w="90" w:type="dxa"/>
              <w:bottom w:w="90" w:type="dxa"/>
              <w:left w:w="105" w:type="dxa"/>
              <w:right w:w="105" w:type="dxa"/>
            </w:tcMar>
          </w:tcPr>
          <w:p>
            <w:pPr>
              <w:spacing w:after="0" w:line="250" w:lineRule="auto"/>
              <w:jc w:val="left"/>
            </w:pPr>
            <w:r>
              <w:rPr>
                <w:b w:val="0"/>
                <w:sz w:val="21"/>
              </w:rPr>
              <w:t>Introduced epidemics cause major losses among Tillamook people. [4]</w:t>
            </w:r>
          </w:p>
        </w:tc>
      </w:tr>
      <w:tr>
        <w:trPr>
          <w:cantSplit/>
        </w:trPr>
        <w:tc>
          <w:tcPr>
            <w:tcW w:type="dxa" w:w="2016"/>
            <w:vAlign w:val="center"/>
            <w:shd w:fill="FFFFFF"/>
            <w:tcMar>
              <w:top w:w="90" w:type="dxa"/>
              <w:bottom w:w="90" w:type="dxa"/>
              <w:left w:w="105" w:type="dxa"/>
              <w:right w:w="105" w:type="dxa"/>
            </w:tcMar>
          </w:tcPr>
          <w:p>
            <w:pPr>
              <w:spacing w:after="0" w:line="250" w:lineRule="auto"/>
              <w:jc w:val="center"/>
            </w:pPr>
            <w:r>
              <w:rPr>
                <w:b w:val="0"/>
                <w:sz w:val="21"/>
              </w:rPr>
              <w:t>August 1851</w:t>
            </w:r>
          </w:p>
        </w:tc>
        <w:tc>
          <w:tcPr>
            <w:tcW w:type="dxa" w:w="7776"/>
            <w:vAlign w:val="center"/>
            <w:shd w:fill="FFFFFF"/>
            <w:tcMar>
              <w:top w:w="90" w:type="dxa"/>
              <w:bottom w:w="90" w:type="dxa"/>
              <w:left w:w="105" w:type="dxa"/>
              <w:right w:w="105" w:type="dxa"/>
            </w:tcMar>
          </w:tcPr>
          <w:p>
            <w:pPr>
              <w:spacing w:after="0" w:line="250" w:lineRule="auto"/>
              <w:jc w:val="left"/>
            </w:pPr>
            <w:r>
              <w:rPr>
                <w:b w:val="0"/>
                <w:sz w:val="21"/>
              </w:rPr>
              <w:t>Nehalem and other Tillamook representatives participate in Tansy Point treaty negotiations. The treaties are not ratified. [11, 20]</w:t>
            </w:r>
          </w:p>
        </w:tc>
      </w:tr>
      <w:tr>
        <w:trPr>
          <w:cantSplit/>
        </w:trPr>
        <w:tc>
          <w:tcPr>
            <w:tcW w:type="dxa" w:w="2016"/>
            <w:vAlign w:val="center"/>
            <w:shd w:fill="F7F8FA"/>
            <w:tcMar>
              <w:top w:w="90" w:type="dxa"/>
              <w:bottom w:w="90" w:type="dxa"/>
              <w:left w:w="105" w:type="dxa"/>
              <w:right w:w="105" w:type="dxa"/>
            </w:tcMar>
          </w:tcPr>
          <w:p>
            <w:pPr>
              <w:spacing w:after="0" w:line="250" w:lineRule="auto"/>
              <w:jc w:val="center"/>
            </w:pPr>
            <w:r>
              <w:rPr>
                <w:b w:val="0"/>
                <w:sz w:val="21"/>
              </w:rPr>
              <w:t>November 9 1855</w:t>
            </w:r>
          </w:p>
        </w:tc>
        <w:tc>
          <w:tcPr>
            <w:tcW w:type="dxa" w:w="7776"/>
            <w:vAlign w:val="center"/>
            <w:shd w:fill="F7F8FA"/>
            <w:tcMar>
              <w:top w:w="90" w:type="dxa"/>
              <w:bottom w:w="90" w:type="dxa"/>
              <w:left w:w="105" w:type="dxa"/>
              <w:right w:w="105" w:type="dxa"/>
            </w:tcMar>
          </w:tcPr>
          <w:p>
            <w:pPr>
              <w:spacing w:after="0" w:line="250" w:lineRule="auto"/>
              <w:jc w:val="left"/>
            </w:pPr>
            <w:r>
              <w:rPr>
                <w:b w:val="0"/>
                <w:sz w:val="21"/>
              </w:rPr>
              <w:t>An executive order establishes the Coast Reservation. [12]</w:t>
            </w:r>
          </w:p>
        </w:tc>
      </w:tr>
      <w:tr>
        <w:trPr>
          <w:cantSplit/>
        </w:trPr>
        <w:tc>
          <w:tcPr>
            <w:tcW w:type="dxa" w:w="2016"/>
            <w:vAlign w:val="center"/>
            <w:shd w:fill="FFFFFF"/>
            <w:tcMar>
              <w:top w:w="90" w:type="dxa"/>
              <w:bottom w:w="90" w:type="dxa"/>
              <w:left w:w="105" w:type="dxa"/>
              <w:right w:w="105" w:type="dxa"/>
            </w:tcMar>
          </w:tcPr>
          <w:p>
            <w:pPr>
              <w:spacing w:after="0" w:line="250" w:lineRule="auto"/>
              <w:jc w:val="center"/>
            </w:pPr>
            <w:r>
              <w:rPr>
                <w:b w:val="0"/>
                <w:sz w:val="21"/>
              </w:rPr>
              <w:t>1860s to 1890s</w:t>
            </w:r>
          </w:p>
        </w:tc>
        <w:tc>
          <w:tcPr>
            <w:tcW w:type="dxa" w:w="7776"/>
            <w:vAlign w:val="center"/>
            <w:shd w:fill="FFFFFF"/>
            <w:tcMar>
              <w:top w:w="90" w:type="dxa"/>
              <w:bottom w:w="90" w:type="dxa"/>
              <w:left w:w="105" w:type="dxa"/>
              <w:right w:w="105" w:type="dxa"/>
            </w:tcMar>
          </w:tcPr>
          <w:p>
            <w:pPr>
              <w:spacing w:after="0" w:line="250" w:lineRule="auto"/>
              <w:jc w:val="left"/>
            </w:pPr>
            <w:r>
              <w:rPr>
                <w:b w:val="0"/>
                <w:sz w:val="21"/>
              </w:rPr>
              <w:t>Members of several Tillamook-speaking communities join Grand Ronde, while coastal communities also persist. [13–15]</w:t>
            </w:r>
          </w:p>
        </w:tc>
      </w:tr>
      <w:tr>
        <w:trPr>
          <w:cantSplit/>
        </w:trPr>
        <w:tc>
          <w:tcPr>
            <w:tcW w:type="dxa" w:w="2016"/>
            <w:vAlign w:val="center"/>
            <w:shd w:fill="F7F8FA"/>
            <w:tcMar>
              <w:top w:w="90" w:type="dxa"/>
              <w:bottom w:w="90" w:type="dxa"/>
              <w:left w:w="105" w:type="dxa"/>
              <w:right w:w="105" w:type="dxa"/>
            </w:tcMar>
          </w:tcPr>
          <w:p>
            <w:pPr>
              <w:spacing w:after="0" w:line="250" w:lineRule="auto"/>
              <w:jc w:val="center"/>
            </w:pPr>
            <w:r>
              <w:rPr>
                <w:b w:val="0"/>
                <w:sz w:val="21"/>
              </w:rPr>
              <w:t>1870s</w:t>
            </w:r>
          </w:p>
        </w:tc>
        <w:tc>
          <w:tcPr>
            <w:tcW w:type="dxa" w:w="7776"/>
            <w:vAlign w:val="center"/>
            <w:shd w:fill="F7F8FA"/>
            <w:tcMar>
              <w:top w:w="90" w:type="dxa"/>
              <w:bottom w:w="90" w:type="dxa"/>
              <w:left w:w="105" w:type="dxa"/>
              <w:right w:w="105" w:type="dxa"/>
            </w:tcMar>
          </w:tcPr>
          <w:p>
            <w:pPr>
              <w:spacing w:after="0" w:line="250" w:lineRule="auto"/>
              <w:jc w:val="left"/>
            </w:pPr>
            <w:r>
              <w:rPr>
                <w:b w:val="0"/>
                <w:sz w:val="21"/>
              </w:rPr>
              <w:t>Illga and displaced families establish a lasting community at Hobsonville. [14]</w:t>
            </w:r>
          </w:p>
        </w:tc>
      </w:tr>
      <w:tr>
        <w:trPr>
          <w:cantSplit/>
        </w:trPr>
        <w:tc>
          <w:tcPr>
            <w:tcW w:type="dxa" w:w="2016"/>
            <w:vAlign w:val="center"/>
            <w:shd w:fill="FFFFFF"/>
            <w:tcMar>
              <w:top w:w="90" w:type="dxa"/>
              <w:bottom w:w="90" w:type="dxa"/>
              <w:left w:w="105" w:type="dxa"/>
              <w:right w:w="105" w:type="dxa"/>
            </w:tcMar>
          </w:tcPr>
          <w:p>
            <w:pPr>
              <w:spacing w:after="0" w:line="250" w:lineRule="auto"/>
              <w:jc w:val="center"/>
            </w:pPr>
            <w:r>
              <w:rPr>
                <w:b w:val="0"/>
                <w:sz w:val="21"/>
              </w:rPr>
              <w:t>1879</w:t>
            </w:r>
          </w:p>
        </w:tc>
        <w:tc>
          <w:tcPr>
            <w:tcW w:type="dxa" w:w="7776"/>
            <w:vAlign w:val="center"/>
            <w:shd w:fill="FFFFFF"/>
            <w:tcMar>
              <w:top w:w="90" w:type="dxa"/>
              <w:bottom w:w="90" w:type="dxa"/>
              <w:left w:w="105" w:type="dxa"/>
              <w:right w:w="105" w:type="dxa"/>
            </w:tcMar>
          </w:tcPr>
          <w:p>
            <w:pPr>
              <w:spacing w:after="0" w:line="250" w:lineRule="auto"/>
              <w:jc w:val="left"/>
            </w:pPr>
            <w:r>
              <w:rPr>
                <w:b w:val="0"/>
                <w:sz w:val="21"/>
              </w:rPr>
              <w:t>Tsin-is-tum and Michel Martineau purchase the Indian Place village property at Seaside. [15]</w:t>
            </w:r>
          </w:p>
        </w:tc>
      </w:tr>
      <w:tr>
        <w:trPr>
          <w:cantSplit/>
        </w:trPr>
        <w:tc>
          <w:tcPr>
            <w:tcW w:type="dxa" w:w="2016"/>
            <w:vAlign w:val="center"/>
            <w:shd w:fill="F7F8FA"/>
            <w:tcMar>
              <w:top w:w="90" w:type="dxa"/>
              <w:bottom w:w="90" w:type="dxa"/>
              <w:left w:w="105" w:type="dxa"/>
              <w:right w:w="105" w:type="dxa"/>
            </w:tcMar>
          </w:tcPr>
          <w:p>
            <w:pPr>
              <w:spacing w:after="0" w:line="250" w:lineRule="auto"/>
              <w:jc w:val="center"/>
            </w:pPr>
            <w:r>
              <w:rPr>
                <w:b w:val="0"/>
                <w:sz w:val="21"/>
              </w:rPr>
              <w:t>1890</w:t>
            </w:r>
          </w:p>
        </w:tc>
        <w:tc>
          <w:tcPr>
            <w:tcW w:type="dxa" w:w="7776"/>
            <w:vAlign w:val="center"/>
            <w:shd w:fill="F7F8FA"/>
            <w:tcMar>
              <w:top w:w="90" w:type="dxa"/>
              <w:bottom w:w="90" w:type="dxa"/>
              <w:left w:w="105" w:type="dxa"/>
              <w:right w:w="105" w:type="dxa"/>
            </w:tcMar>
          </w:tcPr>
          <w:p>
            <w:pPr>
              <w:spacing w:after="0" w:line="250" w:lineRule="auto"/>
              <w:jc w:val="left"/>
            </w:pPr>
            <w:r>
              <w:rPr>
                <w:b w:val="0"/>
                <w:sz w:val="21"/>
              </w:rPr>
              <w:t>Illga arranges to buy the Hobsonville village site. Boas also collects Tillamook traditions at Siletz that year. [1, 14]</w:t>
            </w:r>
          </w:p>
        </w:tc>
      </w:tr>
      <w:tr>
        <w:trPr>
          <w:cantSplit/>
        </w:trPr>
        <w:tc>
          <w:tcPr>
            <w:tcW w:type="dxa" w:w="2016"/>
            <w:vAlign w:val="center"/>
            <w:shd w:fill="FFFFFF"/>
            <w:tcMar>
              <w:top w:w="90" w:type="dxa"/>
              <w:bottom w:w="90" w:type="dxa"/>
              <w:left w:w="105" w:type="dxa"/>
              <w:right w:w="105" w:type="dxa"/>
            </w:tcMar>
          </w:tcPr>
          <w:p>
            <w:pPr>
              <w:spacing w:after="0" w:line="250" w:lineRule="auto"/>
              <w:jc w:val="center"/>
            </w:pPr>
            <w:r>
              <w:rPr>
                <w:b w:val="0"/>
                <w:sz w:val="21"/>
              </w:rPr>
              <w:t>1933 and 1934</w:t>
            </w:r>
          </w:p>
        </w:tc>
        <w:tc>
          <w:tcPr>
            <w:tcW w:type="dxa" w:w="7776"/>
            <w:vAlign w:val="center"/>
            <w:shd w:fill="FFFFFF"/>
            <w:tcMar>
              <w:top w:w="90" w:type="dxa"/>
              <w:bottom w:w="90" w:type="dxa"/>
              <w:left w:w="105" w:type="dxa"/>
              <w:right w:w="105" w:type="dxa"/>
            </w:tcMar>
          </w:tcPr>
          <w:p>
            <w:pPr>
              <w:spacing w:after="0" w:line="250" w:lineRule="auto"/>
              <w:jc w:val="left"/>
            </w:pPr>
            <w:r>
              <w:rPr>
                <w:b w:val="0"/>
                <w:sz w:val="21"/>
              </w:rPr>
              <w:t>Clara Pearson shares ethnographic knowledge and stories with Elizabeth Derr Jacobs. [7]</w:t>
            </w:r>
          </w:p>
        </w:tc>
      </w:tr>
      <w:tr>
        <w:trPr>
          <w:cantSplit/>
        </w:trPr>
        <w:tc>
          <w:tcPr>
            <w:tcW w:type="dxa" w:w="2016"/>
            <w:vAlign w:val="center"/>
            <w:shd w:fill="F7F8FA"/>
            <w:tcMar>
              <w:top w:w="90" w:type="dxa"/>
              <w:bottom w:w="90" w:type="dxa"/>
              <w:left w:w="105" w:type="dxa"/>
              <w:right w:w="105" w:type="dxa"/>
            </w:tcMar>
          </w:tcPr>
          <w:p>
            <w:pPr>
              <w:spacing w:after="0" w:line="250" w:lineRule="auto"/>
              <w:jc w:val="center"/>
            </w:pPr>
            <w:r>
              <w:rPr>
                <w:b w:val="0"/>
                <w:sz w:val="21"/>
              </w:rPr>
              <w:t>1954 to 1956</w:t>
            </w:r>
          </w:p>
        </w:tc>
        <w:tc>
          <w:tcPr>
            <w:tcW w:type="dxa" w:w="7776"/>
            <w:vAlign w:val="center"/>
            <w:shd w:fill="F7F8FA"/>
            <w:tcMar>
              <w:top w:w="90" w:type="dxa"/>
              <w:bottom w:w="90" w:type="dxa"/>
              <w:left w:w="105" w:type="dxa"/>
              <w:right w:w="105" w:type="dxa"/>
            </w:tcMar>
          </w:tcPr>
          <w:p>
            <w:pPr>
              <w:spacing w:after="0" w:line="250" w:lineRule="auto"/>
              <w:jc w:val="left"/>
            </w:pPr>
            <w:r>
              <w:rPr>
                <w:b w:val="0"/>
                <w:sz w:val="21"/>
              </w:rPr>
              <w:t>Federal termination policy ends recognition and trust arrangements for western Oregon tribal communities, including Grand Ronde and Siletz. [13, 22]</w:t>
            </w:r>
          </w:p>
        </w:tc>
      </w:tr>
      <w:tr>
        <w:trPr>
          <w:cantSplit/>
        </w:trPr>
        <w:tc>
          <w:tcPr>
            <w:tcW w:type="dxa" w:w="2016"/>
            <w:vAlign w:val="center"/>
            <w:shd w:fill="FFFFFF"/>
            <w:tcMar>
              <w:top w:w="90" w:type="dxa"/>
              <w:bottom w:w="90" w:type="dxa"/>
              <w:left w:w="105" w:type="dxa"/>
              <w:right w:w="105" w:type="dxa"/>
            </w:tcMar>
          </w:tcPr>
          <w:p>
            <w:pPr>
              <w:spacing w:after="0" w:line="250" w:lineRule="auto"/>
              <w:jc w:val="center"/>
            </w:pPr>
            <w:r>
              <w:rPr>
                <w:b w:val="0"/>
                <w:sz w:val="21"/>
              </w:rPr>
              <w:t>November 18 1977</w:t>
            </w:r>
          </w:p>
        </w:tc>
        <w:tc>
          <w:tcPr>
            <w:tcW w:type="dxa" w:w="7776"/>
            <w:vAlign w:val="center"/>
            <w:shd w:fill="FFFFFF"/>
            <w:tcMar>
              <w:top w:w="90" w:type="dxa"/>
              <w:bottom w:w="90" w:type="dxa"/>
              <w:left w:w="105" w:type="dxa"/>
              <w:right w:w="105" w:type="dxa"/>
            </w:tcMar>
          </w:tcPr>
          <w:p>
            <w:pPr>
              <w:spacing w:after="0" w:line="250" w:lineRule="auto"/>
              <w:jc w:val="left"/>
            </w:pPr>
            <w:r>
              <w:rPr>
                <w:b w:val="0"/>
                <w:sz w:val="21"/>
              </w:rPr>
              <w:t>Federal recognition is restored to the Confederated Tribes of Siletz Indians. [17]</w:t>
            </w:r>
          </w:p>
        </w:tc>
      </w:tr>
      <w:tr>
        <w:trPr>
          <w:cantSplit/>
        </w:trPr>
        <w:tc>
          <w:tcPr>
            <w:tcW w:type="dxa" w:w="2016"/>
            <w:vAlign w:val="center"/>
            <w:shd w:fill="F7F8FA"/>
            <w:tcMar>
              <w:top w:w="90" w:type="dxa"/>
              <w:bottom w:w="90" w:type="dxa"/>
              <w:left w:w="105" w:type="dxa"/>
              <w:right w:w="105" w:type="dxa"/>
            </w:tcMar>
          </w:tcPr>
          <w:p>
            <w:pPr>
              <w:spacing w:after="0" w:line="250" w:lineRule="auto"/>
              <w:jc w:val="center"/>
            </w:pPr>
            <w:r>
              <w:rPr>
                <w:b w:val="0"/>
                <w:sz w:val="21"/>
              </w:rPr>
              <w:t>November 22 1983</w:t>
            </w:r>
          </w:p>
        </w:tc>
        <w:tc>
          <w:tcPr>
            <w:tcW w:type="dxa" w:w="7776"/>
            <w:vAlign w:val="center"/>
            <w:shd w:fill="F7F8FA"/>
            <w:tcMar>
              <w:top w:w="90" w:type="dxa"/>
              <w:bottom w:w="90" w:type="dxa"/>
              <w:left w:w="105" w:type="dxa"/>
              <w:right w:w="105" w:type="dxa"/>
            </w:tcMar>
          </w:tcPr>
          <w:p>
            <w:pPr>
              <w:spacing w:after="0" w:line="250" w:lineRule="auto"/>
              <w:jc w:val="left"/>
            </w:pPr>
            <w:r>
              <w:rPr>
                <w:b w:val="0"/>
                <w:sz w:val="21"/>
              </w:rPr>
              <w:t>Federal recognition is restored to the Confederated Tribes of Grand Ronde. [16]</w:t>
            </w:r>
          </w:p>
        </w:tc>
      </w:tr>
      <w:tr>
        <w:trPr>
          <w:cantSplit/>
        </w:trPr>
        <w:tc>
          <w:tcPr>
            <w:tcW w:type="dxa" w:w="2016"/>
            <w:vAlign w:val="center"/>
            <w:shd w:fill="FFFFFF"/>
            <w:tcMar>
              <w:top w:w="90" w:type="dxa"/>
              <w:bottom w:w="90" w:type="dxa"/>
              <w:left w:w="105" w:type="dxa"/>
              <w:right w:w="105" w:type="dxa"/>
            </w:tcMar>
          </w:tcPr>
          <w:p>
            <w:pPr>
              <w:spacing w:after="0" w:line="250" w:lineRule="auto"/>
              <w:jc w:val="center"/>
            </w:pPr>
            <w:r>
              <w:rPr>
                <w:b w:val="0"/>
                <w:sz w:val="21"/>
              </w:rPr>
              <w:t>May 5 2020</w:t>
            </w:r>
          </w:p>
        </w:tc>
        <w:tc>
          <w:tcPr>
            <w:tcW w:type="dxa" w:w="7776"/>
            <w:vAlign w:val="center"/>
            <w:shd w:fill="FFFFFF"/>
            <w:tcMar>
              <w:top w:w="90" w:type="dxa"/>
              <w:bottom w:w="90" w:type="dxa"/>
              <w:left w:w="105" w:type="dxa"/>
              <w:right w:w="105" w:type="dxa"/>
            </w:tcMar>
          </w:tcPr>
          <w:p>
            <w:pPr>
              <w:spacing w:after="0" w:line="250" w:lineRule="auto"/>
              <w:jc w:val="left"/>
            </w:pPr>
            <w:r>
              <w:rPr>
                <w:b w:val="0"/>
                <w:sz w:val="21"/>
              </w:rPr>
              <w:t>The Clatsop-Nehalem Confederated Tribes receive 18.6 acres at Neawanna Point. [19]</w:t>
            </w:r>
          </w:p>
        </w:tc>
      </w:tr>
      <w:tr>
        <w:trPr>
          <w:cantSplit/>
        </w:trPr>
        <w:tc>
          <w:tcPr>
            <w:tcW w:type="dxa" w:w="2016"/>
            <w:vAlign w:val="center"/>
            <w:shd w:fill="F7F8FA"/>
            <w:tcMar>
              <w:top w:w="90" w:type="dxa"/>
              <w:bottom w:w="90" w:type="dxa"/>
              <w:left w:w="105" w:type="dxa"/>
              <w:right w:w="105" w:type="dxa"/>
            </w:tcMar>
          </w:tcPr>
          <w:p>
            <w:pPr>
              <w:spacing w:after="0" w:line="250" w:lineRule="auto"/>
              <w:jc w:val="center"/>
            </w:pPr>
            <w:r>
              <w:rPr>
                <w:b w:val="0"/>
                <w:sz w:val="21"/>
              </w:rPr>
              <w:t>Today</w:t>
            </w:r>
          </w:p>
        </w:tc>
        <w:tc>
          <w:tcPr>
            <w:tcW w:type="dxa" w:w="7776"/>
            <w:vAlign w:val="center"/>
            <w:shd w:fill="F7F8FA"/>
            <w:tcMar>
              <w:top w:w="90" w:type="dxa"/>
              <w:bottom w:w="90" w:type="dxa"/>
              <w:left w:w="105" w:type="dxa"/>
              <w:right w:w="105" w:type="dxa"/>
            </w:tcMar>
          </w:tcPr>
          <w:p>
            <w:pPr>
              <w:spacing w:after="0" w:line="250" w:lineRule="auto"/>
              <w:jc w:val="left"/>
            </w:pPr>
            <w:r>
              <w:rPr>
                <w:b w:val="0"/>
                <w:sz w:val="21"/>
              </w:rPr>
              <w:t>Descendants continue cultural work, family life and care for ancestral places in several communities. [18–19]</w:t>
            </w:r>
          </w:p>
        </w:tc>
      </w:tr>
    </w:tbl>
    <w:p>
      <w:r>
        <w:br w:type="page"/>
      </w:r>
    </w:p>
    <w:p>
      <w:pPr>
        <w:pStyle w:val="Heading1"/>
      </w:pPr>
      <w:r>
        <w:t>Sources and further reading</w:t>
      </w:r>
    </w:p>
    <w:p>
      <w:r>
        <w:t>The list combines tribal accounts, university scholarship, historical society research and primary records. The Boas link provides an 1898 academic article in transcription; the JSTOR record identifies the original publication. The Crawford link provides a university thesis record and abstract. All numbered references refer to material used in the study.</w:t>
      </w:r>
    </w:p>
    <w:p>
      <w:pPr>
        <w:keepNext/>
        <w:spacing w:before="100" w:after="40"/>
      </w:pPr>
      <w:r>
        <w:rPr>
          <w:b/>
        </w:rPr>
        <w:t xml:space="preserve">[1] </w:t>
      </w:r>
      <w:r>
        <w:t>Franz Boas. Traditions of the Tillamook Indians. The Journal of American Folklore 11 no 40, 1898, pages 23 to 38. Opening page of a primary ethnographic record, including language and the beginning of the Thunderbird narrative.</w:t>
      </w:r>
    </w:p>
    <w:p>
      <w:pPr>
        <w:keepNext/>
        <w:spacing w:after="100" w:line="240" w:lineRule="auto"/>
      </w:pPr>
      <w:hyperlink r:id="rId10">
        <w:r>
          <w:rPr>
            <w:color w:val="174B7A"/>
            <w:u w:val="single"/>
          </w:rPr>
          <w:t>https://en.wikisource.org/wiki/Page:Journal_of_American_Folk-Lore_-_Vol._11_(1898).pdf/31</w:t>
        </w:r>
      </w:hyperlink>
    </w:p>
    <w:p>
      <w:pPr>
        <w:keepNext w:val="0"/>
        <w:spacing w:after="100" w:line="240" w:lineRule="auto"/>
      </w:pPr>
      <w:hyperlink r:id="rId11">
        <w:r>
          <w:rPr>
            <w:color w:val="174B7A"/>
            <w:u w:val="single"/>
          </w:rPr>
          <w:t>https://www.jstor.org/stable/533608</w:t>
        </w:r>
      </w:hyperlink>
    </w:p>
    <w:p>
      <w:pPr>
        <w:keepNext/>
        <w:spacing w:before="100" w:after="40"/>
      </w:pPr>
      <w:r>
        <w:rPr>
          <w:b/>
        </w:rPr>
        <w:t xml:space="preserve">[2] </w:t>
      </w:r>
      <w:r>
        <w:t>Confederated Tribes of Siletz Indians. Introduction. Tribal account of ancestral communities, village leadership and regional differences.</w:t>
      </w:r>
    </w:p>
    <w:p>
      <w:pPr>
        <w:keepNext w:val="0"/>
        <w:spacing w:after="100" w:line="240" w:lineRule="auto"/>
      </w:pPr>
      <w:hyperlink r:id="rId12">
        <w:r>
          <w:rPr>
            <w:color w:val="174B7A"/>
            <w:u w:val="single"/>
          </w:rPr>
          <w:t>https://ctsi.nsn.us/introduction/</w:t>
        </w:r>
      </w:hyperlink>
    </w:p>
    <w:p>
      <w:pPr>
        <w:keepNext/>
        <w:spacing w:before="100" w:after="40"/>
      </w:pPr>
      <w:r>
        <w:rPr>
          <w:b/>
        </w:rPr>
        <w:t xml:space="preserve">[3] </w:t>
      </w:r>
      <w:r>
        <w:t>Gabriel Sanchez. Cetacean Hunting at the Par Tee Site. University of Oregon honors thesis, 2014. Academic synthesis of archaeology, Tillamook and Clatsop identities and maritime resources.</w:t>
      </w:r>
    </w:p>
    <w:p>
      <w:pPr>
        <w:keepNext w:val="0"/>
        <w:spacing w:after="100" w:line="240" w:lineRule="auto"/>
      </w:pPr>
      <w:hyperlink r:id="rId13">
        <w:r>
          <w:rPr>
            <w:color w:val="174B7A"/>
            <w:u w:val="single"/>
          </w:rPr>
          <w:t>https://scholarsbank.uoregon.edu/bitstreams/79687c9c-a224-49f8-9fde-f64a4ef16c08/download</w:t>
        </w:r>
      </w:hyperlink>
    </w:p>
    <w:p>
      <w:pPr>
        <w:keepNext/>
        <w:spacing w:before="100" w:after="40"/>
      </w:pPr>
      <w:r>
        <w:rPr>
          <w:b/>
        </w:rPr>
        <w:t xml:space="preserve">[4] </w:t>
      </w:r>
      <w:r>
        <w:t>Ulrich H Hardt. Tillamook. The Oregon Encyclopedia. Historical overview containing information on Native homelands, housing, foods and disease.</w:t>
      </w:r>
    </w:p>
    <w:p>
      <w:pPr>
        <w:keepNext w:val="0"/>
        <w:spacing w:after="100" w:line="240" w:lineRule="auto"/>
      </w:pPr>
      <w:hyperlink r:id="rId14">
        <w:r>
          <w:rPr>
            <w:color w:val="174B7A"/>
            <w:u w:val="single"/>
          </w:rPr>
          <w:t>https://www.oregonencyclopedia.org/articles/tillamook/</w:t>
        </w:r>
      </w:hyperlink>
    </w:p>
    <w:p>
      <w:pPr>
        <w:keepNext/>
        <w:spacing w:before="100" w:after="40"/>
      </w:pPr>
      <w:r>
        <w:rPr>
          <w:b/>
        </w:rPr>
        <w:t xml:space="preserve">[5] </w:t>
      </w:r>
      <w:r>
        <w:t>Gail Wells. Before Contact. Oregon History Project, 2006, revised 2014. Regional historical synthesis of coastal lifeways and social organization.</w:t>
      </w:r>
    </w:p>
    <w:p>
      <w:pPr>
        <w:keepNext w:val="0"/>
        <w:spacing w:after="100" w:line="240" w:lineRule="auto"/>
      </w:pPr>
      <w:hyperlink r:id="rId15">
        <w:r>
          <w:rPr>
            <w:color w:val="174B7A"/>
            <w:u w:val="single"/>
          </w:rPr>
          <w:t>https://www.oregonhistoryproject.org/narratives/the-oregon-coastforists-and-green-verdent-launs/contact-and-settlement/before-contact/</w:t>
        </w:r>
      </w:hyperlink>
    </w:p>
    <w:p>
      <w:pPr>
        <w:keepNext/>
        <w:spacing w:before="100" w:after="40"/>
      </w:pPr>
      <w:r>
        <w:rPr>
          <w:b/>
        </w:rPr>
        <w:t xml:space="preserve">[6] </w:t>
      </w:r>
      <w:r>
        <w:t>Ailsa Elizabeth Crawford. Tillamook Indian Basketry Continuity and Change as Seen in the Adams Collection. Portland State University MA thesis, 1983. University record and research abstract.</w:t>
      </w:r>
    </w:p>
    <w:p>
      <w:pPr>
        <w:keepNext w:val="0"/>
        <w:spacing w:after="100" w:line="240" w:lineRule="auto"/>
      </w:pPr>
      <w:hyperlink r:id="rId16">
        <w:r>
          <w:rPr>
            <w:color w:val="174B7A"/>
            <w:u w:val="single"/>
          </w:rPr>
          <w:t>https://pdxscholar.library.pdx.edu/open_access_etds/3262/</w:t>
        </w:r>
      </w:hyperlink>
    </w:p>
    <w:p>
      <w:pPr>
        <w:keepNext/>
        <w:spacing w:before="100" w:after="40"/>
      </w:pPr>
      <w:r>
        <w:rPr>
          <w:b/>
        </w:rPr>
        <w:t xml:space="preserve">[7] </w:t>
      </w:r>
      <w:r>
        <w:t>William Seaburg. Elizabeth Jacobs 1903 to 1983. The Oregon Encyclopedia. Scholarly account of Jacobs’s work with Clara Pearson.</w:t>
      </w:r>
    </w:p>
    <w:p>
      <w:pPr>
        <w:keepNext w:val="0"/>
        <w:spacing w:after="100" w:line="240" w:lineRule="auto"/>
      </w:pPr>
      <w:hyperlink r:id="rId17">
        <w:r>
          <w:rPr>
            <w:color w:val="174B7A"/>
            <w:u w:val="single"/>
          </w:rPr>
          <w:t>https://www.oregonencyclopedia.org/articles/jacobs_elizabeth_1903_1983_/</w:t>
        </w:r>
      </w:hyperlink>
    </w:p>
    <w:p>
      <w:pPr>
        <w:keepNext/>
        <w:spacing w:before="100" w:after="40"/>
      </w:pPr>
      <w:r>
        <w:rPr>
          <w:b/>
        </w:rPr>
        <w:t xml:space="preserve">[8] </w:t>
      </w:r>
      <w:r>
        <w:t>Gary Albright. Tillamook Bay. The Oregon Encyclopedia. Historical and archaeological overview, including canoes, basketry and Gray’s visit.</w:t>
      </w:r>
    </w:p>
    <w:p>
      <w:pPr>
        <w:keepNext w:val="0"/>
        <w:spacing w:after="100" w:line="240" w:lineRule="auto"/>
      </w:pPr>
      <w:hyperlink r:id="rId18">
        <w:r>
          <w:rPr>
            <w:color w:val="174B7A"/>
            <w:u w:val="single"/>
          </w:rPr>
          <w:t>https://www.oregonencyclopedia.org/articles/tillamook_bay/</w:t>
        </w:r>
      </w:hyperlink>
    </w:p>
    <w:p>
      <w:pPr>
        <w:keepNext/>
        <w:spacing w:before="100" w:after="40"/>
      </w:pPr>
      <w:r>
        <w:rPr>
          <w:b/>
        </w:rPr>
        <w:t xml:space="preserve">[9] </w:t>
      </w:r>
      <w:r>
        <w:t>Cain Allen. Captain Clark at Tillamook Head 1806. Oregon History Project, 2004. Historical interpretation linked to a reproduction of Clark’s journal.</w:t>
      </w:r>
    </w:p>
    <w:p>
      <w:pPr>
        <w:keepNext w:val="0"/>
        <w:spacing w:after="100" w:line="240" w:lineRule="auto"/>
      </w:pPr>
      <w:hyperlink r:id="rId19">
        <w:r>
          <w:rPr>
            <w:color w:val="174B7A"/>
            <w:u w:val="single"/>
          </w:rPr>
          <w:t>https://www.oregonhistoryproject.org/articles/historical-records/captain-clark-at-tillamook-head-1806/</w:t>
        </w:r>
      </w:hyperlink>
    </w:p>
    <w:p>
      <w:pPr>
        <w:keepNext/>
        <w:spacing w:before="100" w:after="40"/>
      </w:pPr>
      <w:r>
        <w:rPr>
          <w:b/>
        </w:rPr>
        <w:t xml:space="preserve">[10] </w:t>
      </w:r>
      <w:r>
        <w:t>James P Ronda. Lewis and Clark among the Indians. University of Nebraska digital edition. Scholarly history, especially The Clatsop Winter.</w:t>
      </w:r>
    </w:p>
    <w:p>
      <w:pPr>
        <w:keepNext w:val="0"/>
        <w:spacing w:after="100" w:line="240" w:lineRule="auto"/>
      </w:pPr>
      <w:hyperlink r:id="rId20">
        <w:r>
          <w:rPr>
            <w:color w:val="174B7A"/>
            <w:u w:val="single"/>
          </w:rPr>
          <w:t>https://lewisandclarkjournals.unl.edu/item/lc.sup.ronda.01</w:t>
        </w:r>
      </w:hyperlink>
    </w:p>
    <w:p>
      <w:pPr>
        <w:keepNext/>
        <w:spacing w:before="100" w:after="40"/>
      </w:pPr>
      <w:r>
        <w:rPr>
          <w:b/>
        </w:rPr>
        <w:t xml:space="preserve">[11] </w:t>
      </w:r>
      <w:r>
        <w:t>National Park Service. Tansy Point. Federal historical interpretation of the unratified 1851 negotiations.</w:t>
      </w:r>
    </w:p>
    <w:p>
      <w:pPr>
        <w:keepNext w:val="0"/>
        <w:spacing w:after="100" w:line="240" w:lineRule="auto"/>
      </w:pPr>
      <w:hyperlink r:id="rId21">
        <w:r>
          <w:rPr>
            <w:color w:val="174B7A"/>
            <w:u w:val="single"/>
          </w:rPr>
          <w:t>https://www.nps.gov/places/tansy-point.htm</w:t>
        </w:r>
      </w:hyperlink>
    </w:p>
    <w:p>
      <w:pPr>
        <w:keepNext/>
        <w:spacing w:before="100" w:after="40"/>
      </w:pPr>
      <w:r>
        <w:rPr>
          <w:b/>
        </w:rPr>
        <w:t xml:space="preserve">[12] </w:t>
      </w:r>
      <w:r>
        <w:t>David Lewis. Coast Indian Reservation. The Oregon Encyclopedia. Scholarly explanation of the reservation’s creation and reductions.</w:t>
      </w:r>
    </w:p>
    <w:p>
      <w:pPr>
        <w:keepNext w:val="0"/>
        <w:spacing w:after="100" w:line="240" w:lineRule="auto"/>
      </w:pPr>
      <w:hyperlink r:id="rId22">
        <w:r>
          <w:rPr>
            <w:color w:val="174B7A"/>
            <w:u w:val="single"/>
          </w:rPr>
          <w:t>https://www.oregonencyclopedia.org/articles/coast_indian_reservation/</w:t>
        </w:r>
      </w:hyperlink>
    </w:p>
    <w:p>
      <w:pPr>
        <w:keepNext/>
        <w:spacing w:before="100" w:after="40"/>
      </w:pPr>
      <w:r>
        <w:rPr>
          <w:b/>
        </w:rPr>
        <w:t xml:space="preserve">[13] </w:t>
      </w:r>
      <w:r>
        <w:t>David Lewis. Confederated Tribes of Grand Ronde. The Oregon Encyclopedia. History of removal, community formation and termination.</w:t>
      </w:r>
    </w:p>
    <w:p>
      <w:pPr>
        <w:keepNext w:val="0"/>
        <w:spacing w:after="100" w:line="240" w:lineRule="auto"/>
      </w:pPr>
      <w:hyperlink r:id="rId23">
        <w:r>
          <w:rPr>
            <w:color w:val="174B7A"/>
            <w:u w:val="single"/>
          </w:rPr>
          <w:t>https://www.oregonencyclopedia.org/articles/confederated_tribes_of_grand_ronde/</w:t>
        </w:r>
      </w:hyperlink>
    </w:p>
    <w:p>
      <w:pPr>
        <w:keepNext/>
        <w:spacing w:before="100" w:after="40"/>
      </w:pPr>
      <w:r>
        <w:rPr>
          <w:b/>
        </w:rPr>
        <w:t xml:space="preserve">[14] </w:t>
      </w:r>
      <w:r>
        <w:t>Douglas Deur. Hobsonville Indian Community. The Oregon Encyclopedia. History of a continuing coastal Native community.</w:t>
      </w:r>
    </w:p>
    <w:p>
      <w:pPr>
        <w:keepNext w:val="0"/>
        <w:spacing w:after="100" w:line="240" w:lineRule="auto"/>
      </w:pPr>
      <w:hyperlink r:id="rId24">
        <w:r>
          <w:rPr>
            <w:color w:val="174B7A"/>
            <w:u w:val="single"/>
          </w:rPr>
          <w:t>https://www.oregonencyclopedia.org/articles/hobsonville_indian_community/</w:t>
        </w:r>
      </w:hyperlink>
    </w:p>
    <w:p>
      <w:pPr>
        <w:keepNext/>
        <w:spacing w:before="100" w:after="40"/>
      </w:pPr>
      <w:r>
        <w:rPr>
          <w:b/>
        </w:rPr>
        <w:t xml:space="preserve">[15] </w:t>
      </w:r>
      <w:r>
        <w:t>Douglas Deur. Indian Place Seaside. The Oregon Encyclopedia. History of Clatsop and Nehalem Tillamook community life and landownership.</w:t>
      </w:r>
    </w:p>
    <w:p>
      <w:pPr>
        <w:keepNext w:val="0"/>
        <w:spacing w:after="100" w:line="240" w:lineRule="auto"/>
      </w:pPr>
      <w:hyperlink r:id="rId25">
        <w:r>
          <w:rPr>
            <w:color w:val="174B7A"/>
            <w:u w:val="single"/>
          </w:rPr>
          <w:t>https://www.oregonencyclopedia.org/articles/seasides_indian_place/</w:t>
        </w:r>
      </w:hyperlink>
    </w:p>
    <w:p>
      <w:pPr>
        <w:keepNext/>
        <w:spacing w:before="100" w:after="40"/>
      </w:pPr>
      <w:r>
        <w:rPr>
          <w:b/>
        </w:rPr>
        <w:t xml:space="preserve">[16] </w:t>
      </w:r>
      <w:r>
        <w:t>Confederated Tribes of Grand Ronde. Termination and Restoration. Tribal history of the campaign for restored federal recognition.</w:t>
      </w:r>
    </w:p>
    <w:p>
      <w:pPr>
        <w:keepNext w:val="0"/>
        <w:spacing w:after="100" w:line="240" w:lineRule="auto"/>
      </w:pPr>
      <w:hyperlink r:id="rId26">
        <w:r>
          <w:rPr>
            <w:color w:val="174B7A"/>
            <w:u w:val="single"/>
          </w:rPr>
          <w:t>https://www.grandronde.org/culture-history/termination-restoration/</w:t>
        </w:r>
      </w:hyperlink>
    </w:p>
    <w:p>
      <w:pPr>
        <w:keepNext/>
        <w:spacing w:before="100" w:after="40"/>
      </w:pPr>
      <w:r>
        <w:rPr>
          <w:b/>
        </w:rPr>
        <w:t xml:space="preserve">[17] </w:t>
      </w:r>
      <w:r>
        <w:t>Confederated Tribes of Siletz Indians. Annual Report 2024. Tribal primary source confirming the November 18 1977 restoration date.</w:t>
      </w:r>
    </w:p>
    <w:p>
      <w:pPr>
        <w:keepNext w:val="0"/>
        <w:spacing w:after="100" w:line="240" w:lineRule="auto"/>
      </w:pPr>
      <w:hyperlink r:id="rId27">
        <w:r>
          <w:rPr>
            <w:color w:val="174B7A"/>
            <w:u w:val="single"/>
          </w:rPr>
          <w:t>https://ctsi.nsn.us/wp-content/uploads/2025/12/2024-CTSI-Annual-Report.pdf</w:t>
        </w:r>
      </w:hyperlink>
    </w:p>
    <w:p>
      <w:pPr>
        <w:keepNext/>
        <w:spacing w:before="100" w:after="40"/>
      </w:pPr>
      <w:r>
        <w:rPr>
          <w:b/>
        </w:rPr>
        <w:t xml:space="preserve">[18] </w:t>
      </w:r>
      <w:r>
        <w:t>Confederated Tribes of Siletz Indians. Culture and Language. Current tribal description of cultural protection, teaching and language programs.</w:t>
      </w:r>
    </w:p>
    <w:p>
      <w:pPr>
        <w:keepNext w:val="0"/>
        <w:spacing w:after="100" w:line="240" w:lineRule="auto"/>
      </w:pPr>
      <w:hyperlink r:id="rId28">
        <w:r>
          <w:rPr>
            <w:color w:val="174B7A"/>
            <w:u w:val="single"/>
          </w:rPr>
          <w:t>https://ctsi.nsn.us/culture-language/</w:t>
        </w:r>
      </w:hyperlink>
    </w:p>
    <w:p>
      <w:pPr>
        <w:keepNext/>
        <w:spacing w:before="100" w:after="40"/>
      </w:pPr>
      <w:r>
        <w:rPr>
          <w:b/>
        </w:rPr>
        <w:t xml:space="preserve">[19] </w:t>
      </w:r>
      <w:r>
        <w:t>Katherine Lacaze. NCLC Returns Ancient Cultural Site to Clatsop Nehalem Confederated Tribes. North Coast Land Conservancy, May 5 2020. Firsthand institutional account of the land transfer.</w:t>
      </w:r>
    </w:p>
    <w:p>
      <w:pPr>
        <w:keepNext w:val="0"/>
        <w:spacing w:after="100" w:line="240" w:lineRule="auto"/>
      </w:pPr>
      <w:hyperlink r:id="rId29">
        <w:r>
          <w:rPr>
            <w:color w:val="174B7A"/>
            <w:u w:val="single"/>
          </w:rPr>
          <w:t>https://nclctrust.org/news/nclc-returns-ancient-cultural-site/</w:t>
        </w:r>
      </w:hyperlink>
    </w:p>
    <w:p>
      <w:pPr>
        <w:keepNext/>
        <w:spacing w:before="100" w:after="40"/>
      </w:pPr>
      <w:r>
        <w:rPr>
          <w:b/>
        </w:rPr>
        <w:t xml:space="preserve">[20] </w:t>
      </w:r>
      <w:r>
        <w:t>Correspondence of the Oregon Superintendency 1851. Southern Oregon Historical Society hosted transcription collection. Includes the August 14 1851 Oregon Weekly Times report and federal correspondence. Historical wording and land claims require critical reading.</w:t>
      </w:r>
    </w:p>
    <w:p>
      <w:pPr>
        <w:keepNext w:val="0"/>
        <w:spacing w:after="100" w:line="240" w:lineRule="auto"/>
      </w:pPr>
      <w:hyperlink r:id="rId30">
        <w:r>
          <w:rPr>
            <w:color w:val="174B7A"/>
            <w:u w:val="single"/>
          </w:rPr>
          <w:t>https://truwe.sohs.org/files/1851%20superintendency.html</w:t>
        </w:r>
      </w:hyperlink>
    </w:p>
    <w:p>
      <w:pPr>
        <w:keepNext/>
        <w:spacing w:before="100" w:after="40"/>
      </w:pPr>
      <w:r>
        <w:rPr>
          <w:b/>
        </w:rPr>
        <w:t xml:space="preserve">[21] </w:t>
      </w:r>
      <w:r>
        <w:t>Douglas Deur and Tricia Gates Brown. NeCus Village. Discover Lewis and Clark. Scholarly account with archival references and a section on Kóshtawah or Maggie Adams.</w:t>
      </w:r>
    </w:p>
    <w:p>
      <w:pPr>
        <w:keepNext w:val="0"/>
        <w:spacing w:after="100" w:line="240" w:lineRule="auto"/>
      </w:pPr>
      <w:hyperlink r:id="rId31">
        <w:r>
          <w:rPr>
            <w:color w:val="174B7A"/>
            <w:u w:val="single"/>
          </w:rPr>
          <w:t>https://lewis-clark.org/the-trail/fort-clatsop/necus-village/</w:t>
        </w:r>
      </w:hyperlink>
    </w:p>
    <w:p>
      <w:pPr>
        <w:keepNext/>
        <w:spacing w:before="100" w:after="40"/>
      </w:pPr>
      <w:r>
        <w:rPr>
          <w:b/>
        </w:rPr>
        <w:t xml:space="preserve">[22] </w:t>
      </w:r>
      <w:r>
        <w:t>Confederated Tribes of Siletz Indians. Public Law 102 477 Plan. Tribal planning document describing termination in 1956 and restoration in 1977.</w:t>
      </w:r>
    </w:p>
    <w:p>
      <w:pPr>
        <w:keepNext w:val="0"/>
        <w:spacing w:after="100" w:line="240" w:lineRule="auto"/>
      </w:pPr>
      <w:hyperlink r:id="rId32">
        <w:r>
          <w:rPr>
            <w:color w:val="174B7A"/>
            <w:u w:val="single"/>
          </w:rPr>
          <w:t>https://ctsi.nsn.us/wp-content/uploads/2024/04/477-Plan-2024-2027-DRAFT.pdf</w:t>
        </w:r>
      </w:hyperlink>
    </w:p>
    <w:sectPr w:rsidR="00FC693F" w:rsidRPr="0006063C" w:rsidSect="00034616">
      <w:footerReference w:type="default" r:id="rId9"/>
      <w:pgSz w:w="12240" w:h="15840"/>
      <w:pgMar w:top="1123" w:right="1224" w:bottom="1123" w:left="1224" w:header="720"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140"/>
    </w:pPr>
    <w:rPr>
      <w:rFonts w:ascii="Calibri" w:hAnsi="Calibri"/>
      <w:color w:val="000000"/>
      <w:sz w:val="23"/>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Calibri" w:hAnsi="Calibri"/>
      <w:b/>
      <w:bCs/>
      <w:color w:val="000000"/>
      <w:sz w:val="32"/>
      <w:szCs w:val="28"/>
      <w:u w:val="none"/>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Calibri" w:hAnsi="Calibri"/>
      <w:b/>
      <w:bCs/>
      <w:color w:val="000000"/>
      <w:sz w:val="25"/>
      <w:szCs w:val="26"/>
      <w:u w:val="none"/>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u w:val="non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Calibri" w:hAnsi="Calibri"/>
      <w:b/>
      <w:color w:val="000000"/>
      <w:spacing w:val="5"/>
      <w:kern w:val="28"/>
      <w:sz w:val="50"/>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340"/>
    </w:pPr>
    <w:rPr>
      <w:rFonts w:asciiTheme="majorHAnsi" w:eastAsiaTheme="majorEastAsia" w:hAnsiTheme="majorHAnsi" w:cstheme="majorBidi" w:ascii="Calibri" w:hAnsi="Calibri"/>
      <w:i/>
      <w:iCs/>
      <w:color w:val="000000"/>
      <w:spacing w:val="15"/>
      <w:sz w:val="24"/>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n.wikisource.org/wiki/Page:Journal_of_American_Folk-Lore_-_Vol._11_(1898).pdf/31" TargetMode="External"/><Relationship Id="rId11" Type="http://schemas.openxmlformats.org/officeDocument/2006/relationships/hyperlink" Target="https://www.jstor.org/stable/533608" TargetMode="External"/><Relationship Id="rId12" Type="http://schemas.openxmlformats.org/officeDocument/2006/relationships/hyperlink" Target="https://ctsi.nsn.us/introduction/" TargetMode="External"/><Relationship Id="rId13" Type="http://schemas.openxmlformats.org/officeDocument/2006/relationships/hyperlink" Target="https://scholarsbank.uoregon.edu/bitstreams/79687c9c-a224-49f8-9fde-f64a4ef16c08/download" TargetMode="External"/><Relationship Id="rId14" Type="http://schemas.openxmlformats.org/officeDocument/2006/relationships/hyperlink" Target="https://www.oregonencyclopedia.org/articles/tillamook/" TargetMode="External"/><Relationship Id="rId15" Type="http://schemas.openxmlformats.org/officeDocument/2006/relationships/hyperlink" Target="https://www.oregonhistoryproject.org/narratives/the-oregon-coastforists-and-green-verdent-launs/contact-and-settlement/before-contact/" TargetMode="External"/><Relationship Id="rId16" Type="http://schemas.openxmlformats.org/officeDocument/2006/relationships/hyperlink" Target="https://pdxscholar.library.pdx.edu/open_access_etds/3262/" TargetMode="External"/><Relationship Id="rId17" Type="http://schemas.openxmlformats.org/officeDocument/2006/relationships/hyperlink" Target="https://www.oregonencyclopedia.org/articles/jacobs_elizabeth_1903_1983_/" TargetMode="External"/><Relationship Id="rId18" Type="http://schemas.openxmlformats.org/officeDocument/2006/relationships/hyperlink" Target="https://www.oregonencyclopedia.org/articles/tillamook_bay/" TargetMode="External"/><Relationship Id="rId19" Type="http://schemas.openxmlformats.org/officeDocument/2006/relationships/hyperlink" Target="https://www.oregonhistoryproject.org/articles/historical-records/captain-clark-at-tillamook-head-1806/" TargetMode="External"/><Relationship Id="rId20" Type="http://schemas.openxmlformats.org/officeDocument/2006/relationships/hyperlink" Target="https://lewisandclarkjournals.unl.edu/item/lc.sup.ronda.01" TargetMode="External"/><Relationship Id="rId21" Type="http://schemas.openxmlformats.org/officeDocument/2006/relationships/hyperlink" Target="https://www.nps.gov/places/tansy-point.htm" TargetMode="External"/><Relationship Id="rId22" Type="http://schemas.openxmlformats.org/officeDocument/2006/relationships/hyperlink" Target="https://www.oregonencyclopedia.org/articles/coast_indian_reservation/" TargetMode="External"/><Relationship Id="rId23" Type="http://schemas.openxmlformats.org/officeDocument/2006/relationships/hyperlink" Target="https://www.oregonencyclopedia.org/articles/confederated_tribes_of_grand_ronde/" TargetMode="External"/><Relationship Id="rId24" Type="http://schemas.openxmlformats.org/officeDocument/2006/relationships/hyperlink" Target="https://www.oregonencyclopedia.org/articles/hobsonville_indian_community/" TargetMode="External"/><Relationship Id="rId25" Type="http://schemas.openxmlformats.org/officeDocument/2006/relationships/hyperlink" Target="https://www.oregonencyclopedia.org/articles/seasides_indian_place/" TargetMode="External"/><Relationship Id="rId26" Type="http://schemas.openxmlformats.org/officeDocument/2006/relationships/hyperlink" Target="https://www.grandronde.org/culture-history/termination-restoration/" TargetMode="External"/><Relationship Id="rId27" Type="http://schemas.openxmlformats.org/officeDocument/2006/relationships/hyperlink" Target="https://ctsi.nsn.us/wp-content/uploads/2025/12/2024-CTSI-Annual-Report.pdf" TargetMode="External"/><Relationship Id="rId28" Type="http://schemas.openxmlformats.org/officeDocument/2006/relationships/hyperlink" Target="https://ctsi.nsn.us/culture-language/" TargetMode="External"/><Relationship Id="rId29" Type="http://schemas.openxmlformats.org/officeDocument/2006/relationships/hyperlink" Target="https://nclctrust.org/news/nclc-returns-ancient-cultural-site/" TargetMode="External"/><Relationship Id="rId30" Type="http://schemas.openxmlformats.org/officeDocument/2006/relationships/hyperlink" Target="https://truwe.sohs.org/files/1851%20superintendency.html" TargetMode="External"/><Relationship Id="rId31" Type="http://schemas.openxmlformats.org/officeDocument/2006/relationships/hyperlink" Target="https://lewis-clark.org/the-trail/fort-clatsop/necus-village/" TargetMode="External"/><Relationship Id="rId32" Type="http://schemas.openxmlformats.org/officeDocument/2006/relationships/hyperlink" Target="https://ctsi.nsn.us/wp-content/uploads/2024/04/477-Plan-2024-2027-DRAF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Tillamook History Culture and Timeline</dc:title>
  <dc:subject>History and culture of Tillamook communities on the Oregon Coast</dc:subject>
  <dc:creator/>
  <cp:keywords>Tillamook, Nehalem, Oregon, Native American history</cp:keywords>
  <dc:description>generated by python-docx</dc:description>
  <cp:lastModifiedBy/>
  <cp:revision>1</cp:revision>
  <dcterms:created xsi:type="dcterms:W3CDTF">2013-12-23T23:15:00Z</dcterms:created>
  <dcterms:modified xsi:type="dcterms:W3CDTF">2013-12-23T23:15:00Z</dcterms:modified>
  <cp:category/>
</cp:coreProperties>
</file>