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Tittabawassee Ojibwe Communities</w:t>
      </w:r>
    </w:p>
    <w:p>
      <w:pPr>
        <w:pStyle w:val="Subtitle"/>
      </w:pPr>
      <w:r>
        <w:t>History Culture and Timeline</w:t>
      </w:r>
    </w:p>
    <w:p>
      <w:r>
        <w:t>Tittabawassee is best understood as a local name connected with Native communities along Michigan's Tittabawassee River. The nineteenth-century treaty record places these communities within the wider Chippewa, or Ojibwe, world of the Saginaw Valley. The name should therefore be read in relation to local bands and villages, rather than assumed to identify a separate modern tribal nation. Their history belongs within the history of the Saginaw Chippewa Indian Tribe of Michigan, whose constituent bands are Saginaw, Swan Creek and Black River. [1, 2]</w:t>
      </w:r>
    </w:p>
    <w:p>
      <w:r>
        <w:t>The river communities supported themselves through knowledge of the seasons, waterways and forests. U.S. treaties reduced their land base and threatened removal from Michigan. Later agreements established a homeland in Isabella County. Their descendants maintained community ties through land loss and the boarding school era, and continue cultural education and environmental work today. [10–13, 14–18]</w:t>
      </w:r>
    </w:p>
    <w:p>
      <w:pPr>
        <w:pStyle w:val="Heading1"/>
      </w:pPr>
      <w:r>
        <w:t>Homeland and early history</w:t>
      </w:r>
    </w:p>
    <w:p>
      <w:r>
        <w:t>The Tittabawassee country lies in Michigan's Lower Peninsula, around the river system associated with present-day Midland and the wider Saginaw Valley. The river appears in early treaties under spellings such as Tetabawasink and Tetabwasing. These changing spellings reflect the way English-language records represented Native place names. The 1819 treaty specifically identifies communities at the Little Forks and Black Bird's town. [2, 10]</w:t>
      </w:r>
    </w:p>
    <w:p>
      <w:r>
        <w:t>Archaeological sites show a much longer Indigenous history than the surviving U.S. treaty record. A 1931 University of Michigan archaeological atlas, later supplied to the Environmental Protection Agency by tribal cultural staff, recorded six village sites within eight miles of present-day Midland. Such a compilation records evidence of settlement across time. It does not establish that all the sites were occupied together or belonged to one unchanged tribal group. [19]</w:t>
      </w:r>
    </w:p>
    <w:p>
      <w:r>
        <w:t>Archaeologist James E. Fitting showed why the early Saginaw Valley should be understood as an area used by several peoples. Accounts of Henri Nouvel's winter journey in 1675–1676 describe travel through the Tittabawassee system and seasonal camps associated with Amikwa, Nipissing and other Native groups. Later records show a stronger Ojibwe presence in the valley during the eighteenth century. The regional history therefore includes movement, shared hunting areas and changing relationships among communities. [3]</w:t>
      </w:r>
    </w:p>
    <w:p>
      <w:r>
        <w:t>This distinction matters when reading older accounts of battles between the Ojibwe and Sauk. Fitting questioned simple stories of one people occupying the whole valley and then being completely replaced. These accounts cannot establish a precise founding date for the river communities. [3]</w:t>
      </w:r>
    </w:p>
    <w:p>
      <w:pPr>
        <w:pStyle w:val="Heading1"/>
      </w:pPr>
      <w:r>
        <w:t>Culture and daily life</w:t>
      </w:r>
    </w:p>
    <w:p>
      <w:r>
        <w:t>The following practices come from Saginaw Chippewa cultural accounts and regional scholarship. They explain the wider Ojibwe and Anishinaabe setting of the river communities. Customs and teachings varied between families, communities and periods. [5–8]</w:t>
      </w:r>
    </w:p>
    <w:p>
      <w:pPr>
        <w:pStyle w:val="Heading2"/>
      </w:pPr>
      <w:r>
        <w:t>Food and the seasons</w:t>
      </w:r>
    </w:p>
    <w:p>
      <w:r>
        <w:t>Families planned their work around the availability of food. Fishing and hunting were central, while gathering and garden work also formed part of the wider Anishinaabe food system. Regional evidence describes warmer-season fishing, autumn deer hunting and smaller winter hunting groups. Seasonal movement allowed people to use different resources at different times. [3, 5]</w:t>
      </w:r>
    </w:p>
    <w:p>
      <w:r>
        <w:t>Maple sugar making brought families together as winter gave way to spring. People collected sap, maintained fires and carefully processed it into syrup or sugar. Birchbark containers and carved wooden bowls required considerable preparation. The Ziibiwing Center explains that maple sugar provided food, energy and a trade item. It also describes sugaring as a time of reunion and celebration. Its account connects present-day sugaring on the Isabella Reservation with earlier generations. [5]</w:t>
      </w:r>
    </w:p>
    <w:p>
      <w:pPr>
        <w:pStyle w:val="Heading2"/>
      </w:pPr>
      <w:r>
        <w:t>Homes and river travel</w:t>
      </w:r>
    </w:p>
    <w:p>
      <w:r>
        <w:t>Birchbark was a major material in Anishinaabe life. People covered sapling lodge frames with large bark panels and made containers by joining bark with plant fibers. Birchbark canoes could carry people and goods through connected rivers and lakes, then be carried overland between waterways. These skills help explain how river communities could maintain contact across a large region. They also show why control of a riverbank alone cannot describe the full area used by a community. [6]</w:t>
      </w:r>
    </w:p>
    <w:p>
      <w:pPr>
        <w:pStyle w:val="Heading2"/>
      </w:pPr>
      <w:r>
        <w:t>Language and family ties</w:t>
      </w:r>
    </w:p>
    <w:p>
      <w:r>
        <w:t>The heritage language was Ojibwe, also called Anishinaabemowin. It belongs to the Central Algonquian language family. Ojibwe is spoken in several regional varieties, so a dictionary based on Minnesota and Wisconsin speech should not automatically be treated as a record of historical Tittabawassee pronunciation. Language carries place names, family knowledge and teachings, as well as everyday speech. [4]</w:t>
      </w:r>
    </w:p>
    <w:p>
      <w:r>
        <w:t>Clan relationships linked people beyond their immediate households. The Ziibiwing Center describes clans associated with animals such as the bear, crane, loon and catfish. In its teachings, children traditionally belonged to their father's clan. Clan identity carried duties of care: members were expected to look after relatives and receive visiting members of the same clan. Clan symbols also appeared on treaties. These ties were broader than residence in a particular river village. [7]</w:t>
      </w:r>
    </w:p>
    <w:p>
      <w:pPr>
        <w:pStyle w:val="Heading2"/>
      </w:pPr>
      <w:r>
        <w:t>Beliefs and practical knowledge</w:t>
      </w:r>
    </w:p>
    <w:p>
      <w:r>
        <w:t>Spiritual teachings connected human responsibilities with animals, plants and the Creator. In the Ziibiwing account of Nenaboozhoo and the maple trees, easy access to syrup is changed so people must work for it and attend to their other responsibilities. The story teaches appreciation and effort. Its cultural meaning should be distinguished from a dated account of a specific historical event. [5]</w:t>
      </w:r>
    </w:p>
    <w:p>
      <w:r>
        <w:t>Birchbark teachings similarly join practical knowledge with spiritual responsibilities. The Ziibiwing Center describes giving thanks when harvesting bark and caring for sacred scrolls through the Midewiwin Society. These public teachings describe parts of Anishinaabe religious life without implying that every family followed identical practices. [6]</w:t>
      </w:r>
    </w:p>
    <w:p>
      <w:r>
        <w:t>Black ash basketry required identifying suitable trees, pounding the wood and preparing splints for weaving. Music included inherited songs as well as new forms. The tribe's cultural programs also explain the importance of cradleboards, plant knowledge and dance. Contemporary powwows draw on traditions from several Native peoples and should not be projected unchanged into the distant past. [8]</w:t>
      </w:r>
    </w:p>
    <w:p>
      <w:pPr>
        <w:pStyle w:val="Heading1"/>
      </w:pPr>
      <w:r>
        <w:t>A Native account of the river communities</w:t>
      </w:r>
    </w:p>
    <w:p>
      <w:r>
        <w:t>Andrew J. Blackbird, an Odawa writer and interpreter, provides a useful personal account in his 1887 history. While traveling south through Michigan in winter to seek support for Native citizenship, he and his companions ran short of food. Following the frozen Tittabawassee, they found one deserted camp and then another occupied by women and children while the men hunted. The residents fed the travelers. [9, chap. 7]</w:t>
      </w:r>
    </w:p>
    <w:p>
      <w:r>
        <w:t>Blackbird was an Odawa visitor, so his account is not a complete description of a Tittabawassee community. It does, however, give direct evidence of winter camps, hospitality and travel along the river. His larger purpose was to explain Native efforts to secure their future and avoid removal. [9]</w:t>
      </w:r>
    </w:p>
    <w:p>
      <w:pPr>
        <w:pStyle w:val="Heading1"/>
      </w:pPr>
      <w:r>
        <w:t>Treaties and the loss of local reserves</w:t>
      </w:r>
    </w:p>
    <w:p>
      <w:pPr>
        <w:pStyle w:val="Heading2"/>
      </w:pPr>
      <w:r>
        <w:t>The Saginaw treaty of 1819</w:t>
      </w:r>
    </w:p>
    <w:p>
      <w:r>
        <w:t>On September 24, 1819, U.S. commissioner Lewis Cass and Chippewa representatives signed the Treaty of Saginaw. It ceded a large territory while reserving several smaller tracts for Native use. Article 2 retained 6,000 acres at the Little Forks and another 6,000 acres at Black Bird's town on the Tittabawassee. These provisions are especially valuable evidence of local Native communities. [2, art. 2]</w:t>
      </w:r>
    </w:p>
    <w:p>
      <w:r>
        <w:t>Article 5 also provided for hunting and maple sugar making on ceded land while it remained U.S. property. This was a conditional treaty provision. It did not guarantee that the entire ceded territory would remain permanently available for those activities. [2, art. 5]</w:t>
      </w:r>
    </w:p>
    <w:p>
      <w:pPr>
        <w:pStyle w:val="Heading2"/>
      </w:pPr>
      <w:r>
        <w:t>The removal treaties of 1837</w:t>
      </w:r>
    </w:p>
    <w:p>
      <w:r>
        <w:t>The January 14, 1837 treaty ceded numerous reserves retained in 1819, including both 6,000-acre Tittabawassee tracts. Article 6 called for the Saginaw Chippewa to leave Michigan once a suitable location could be obtained. The agreement also made removal expenses chargeable against the proceeds from their own lands. Its signatories included Ogima Keegido and other leaders representing the Saginaw bands. [10, arts. 1 and 6]</w:t>
      </w:r>
    </w:p>
    <w:p>
      <w:r>
        <w:t>A second treaty, signed on December 20, 1837, specified a proposed home on the headwaters of the Osage River. It directed that fifty cents per acre from the earlier cession be retained for a new location and migration. These documents establish the government's removal plans. They should not be read as proof that every Saginaw Chippewa family was actually moved west. Later treaties provided a homeland within Michigan. [11, arts. 1–2; 12–13]</w:t>
      </w:r>
    </w:p>
    <w:p>
      <w:pPr>
        <w:pStyle w:val="Heading2"/>
      </w:pPr>
      <w:r>
        <w:t>A homeland in Isabella County</w:t>
      </w:r>
    </w:p>
    <w:p>
      <w:r>
        <w:t>The treaty of August 2, 1855 covered the Chippewa of Saginaw and the Swan Creek and Black River people remaining in Michigan. It withdrew unsold federal land in six adjoining Isabella County townships from public sale, along with a separate tract near Saginaw Bay. Eligible people could select individual parcels. The agreement promised money, tools, educational support and mills. It was signed in 1855 and ratified in 1856. [12]</w:t>
      </w:r>
    </w:p>
    <w:p>
      <w:r>
        <w:t>These provisions offered a way to remain in Michigan, but tied assistance to permanent settlement and individual landholding. Article 6 also attempted to dissolve tribal organization except for carrying out the agreement. That clause expresses U.S. policy at the time. The continuing Saginaw Chippewa community and government demonstrate that Native political life endured. [12, art. 6; 1]</w:t>
      </w:r>
    </w:p>
    <w:p>
      <w:r>
        <w:t>The October 18, 1864 treaty, ratified in 1866, reaffirmed land in Isabella County while relinquishing the earlier Saginaw Bay townships. It expanded categories of people eligible for land selections and directed federal officials to classify recipients by their supposed ability to manage property. Some received unrestricted titles; others needed federal consent to sell. These categories placed outside officials in a powerful position over Native families. [13, arts. 1–3]</w:t>
      </w:r>
    </w:p>
    <w:p>
      <w:pPr>
        <w:pStyle w:val="Heading1"/>
      </w:pPr>
      <w:r>
        <w:t>Land loss and the boarding school era</w:t>
      </w:r>
    </w:p>
    <w:p>
      <w:r>
        <w:t>A permanent reservation did not ensure secure family ownership. The Ziibiwing Center recounts delayed payments, hunger and illness after relocation. Families sometimes sold valuable timber land cheaply to obtain food, while dealings involving agents and lumber interests accelerated land loss. The center reports that only a small portion of the more than 1,500 nineteenth-century allotments remained in tribal hands by 1934. [14]</w:t>
      </w:r>
    </w:p>
    <w:p>
      <w:r>
        <w:t>The Mount Pleasant Indian Industrial Boarding School operated from 1893 to 1934. It belonged to a wider system intended to assimilate Native children into the dominant society. Separating children from home and suppressing Native ways harmed the transmission of language and family knowledge. The Saginaw Chippewa later undertook research, remembrance and preservation at the site. In 2011, the tribe accepted former school property and began its Honoring, Healing and Remembering observance. [8, 15]</w:t>
      </w:r>
    </w:p>
    <w:p>
      <w:pPr>
        <w:pStyle w:val="Heading1"/>
      </w:pPr>
      <w:r>
        <w:t>Continuing community and government</w:t>
      </w:r>
    </w:p>
    <w:p>
      <w:r>
        <w:t>The Saginaw Chippewa reorganized under the Indian Reorganization Act in 1937. This was a change in governmental structure, not the beginning of the people themselves. The tribe's own historical account describes the long struggle to rebuild its land base and support community life. [1, 14]</w:t>
      </w:r>
    </w:p>
    <w:p>
      <w:r>
        <w:t>Education under tribal direction became one part of that work. The Tribal Council established Saginaw Chippewa Tribal College in 1998 to expand access to higher education while sustaining cultural continuity. The Ziibiwing Center opened in 2004 as a place to preserve and share history, language and lifeways. These institutions allow the community to guide how its own history is taught. [16, 1]</w:t>
      </w:r>
    </w:p>
    <w:p>
      <w:r>
        <w:t>On November 23, 2010, a federal court approved a negotiated settlement recognizing the entire Isabella Reservation as Indian Country. Agreements among the tribe, United States, Michigan and local governments addressed practical questions of jurisdiction. This settlement is a useful reminder that changes in ownership and government services did not simply erase the reservation. [17]</w:t>
      </w:r>
    </w:p>
    <w:p>
      <w:r>
        <w:t>The connection to the river country also continues. In a November 20, 2012 letter to the EPA, the tribe sought protection of culturally significant sites and procedures for discoveries during cleanup along the Tittabawassee and Saginaw system. A natural resource damage settlement finalized in 2020 included funding for tribal acquisition and restoration of culturally valuable habitat near Saginaw Bay. Hunting, fishing and gathering remain part of the reason these wetlands matter. [18–19]</w:t>
      </w:r>
    </w:p>
    <w:p>
      <w:r>
        <w:br w:type="page"/>
      </w:r>
    </w:p>
    <w:p>
      <w:pPr>
        <w:pStyle w:val="Heading1"/>
      </w:pPr>
      <w:r>
        <w:t>Timeline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45"/>
        <w:gridCol w:w="7747"/>
      </w:tblGrid>
      <w:tr>
        <w:trPr>
          <w:tblHeader/>
          <w:cantSplit/>
        </w:trPr>
        <w:tc>
          <w:tcPr>
            <w:tcW w:type="dxa" w:w="2045"/>
            <w:vAlign w:val="center"/>
            <w:tcMar>
              <w:top w:w="85" w:type="dxa"/>
              <w:bottom w:w="85" w:type="dxa"/>
              <w:left w:w="110" w:type="dxa"/>
              <w:right w:w="110" w:type="dxa"/>
            </w:tcMar>
            <w:shd w:fill="E7EDF1"/>
          </w:tcPr>
          <w:p>
            <w:pPr>
              <w:spacing w:after="0" w:line="254" w:lineRule="auto"/>
              <w:jc w:val="left"/>
            </w:pPr>
            <w:r>
              <w:rPr>
                <w:b/>
                <w:sz w:val="21"/>
              </w:rPr>
              <w:t>Date or period</w:t>
            </w:r>
          </w:p>
        </w:tc>
        <w:tc>
          <w:tcPr>
            <w:tcW w:type="dxa" w:w="7747"/>
            <w:vAlign w:val="center"/>
            <w:tcMar>
              <w:top w:w="85" w:type="dxa"/>
              <w:bottom w:w="85" w:type="dxa"/>
              <w:left w:w="110" w:type="dxa"/>
              <w:right w:w="110" w:type="dxa"/>
            </w:tcMar>
            <w:shd w:fill="E7EDF1"/>
          </w:tcPr>
          <w:p>
            <w:pPr>
              <w:spacing w:after="0" w:line="254" w:lineRule="auto"/>
              <w:jc w:val="left"/>
            </w:pPr>
            <w:r>
              <w:rPr>
                <w:b/>
                <w:sz w:val="21"/>
              </w:rPr>
              <w:t>Event</w:t>
            </w:r>
          </w:p>
        </w:tc>
      </w:tr>
      <w:tr>
        <w:trPr>
          <w:cantSplit/>
        </w:trPr>
        <w:tc>
          <w:tcPr>
            <w:tcW w:type="dxa" w:w="2045"/>
            <w:vAlign w:val="center"/>
            <w:tcMar>
              <w:top w:w="85" w:type="dxa"/>
              <w:bottom w:w="85" w:type="dxa"/>
              <w:left w:w="110" w:type="dxa"/>
              <w:right w:w="110" w:type="dxa"/>
            </w:tcMar>
            <w:shd w:fill="FFFFFF"/>
          </w:tcPr>
          <w:p>
            <w:pPr>
              <w:spacing w:after="0" w:line="254" w:lineRule="auto"/>
              <w:jc w:val="left"/>
            </w:pPr>
            <w:r>
              <w:rPr>
                <w:b w:val="0"/>
                <w:sz w:val="21"/>
              </w:rPr>
              <w:t>Before European contact</w:t>
            </w:r>
          </w:p>
        </w:tc>
        <w:tc>
          <w:tcPr>
            <w:tcW w:type="dxa" w:w="7747"/>
            <w:vAlign w:val="center"/>
            <w:tcMar>
              <w:top w:w="85" w:type="dxa"/>
              <w:bottom w:w="85" w:type="dxa"/>
              <w:left w:w="110" w:type="dxa"/>
              <w:right w:w="110" w:type="dxa"/>
            </w:tcMar>
            <w:shd w:fill="FFFFFF"/>
          </w:tcPr>
          <w:p>
            <w:pPr>
              <w:spacing w:after="0" w:line="254" w:lineRule="auto"/>
              <w:jc w:val="left"/>
            </w:pPr>
            <w:r>
              <w:rPr>
                <w:sz w:val="21"/>
              </w:rPr>
              <w:t>The valley contains evidence of earlier Indigenous settlement. Archaeological sites cannot all be assigned to a single later band. [3, 19]</w:t>
            </w:r>
          </w:p>
        </w:tc>
      </w:tr>
      <w:tr>
        <w:trPr>
          <w:cantSplit/>
        </w:trPr>
        <w:tc>
          <w:tcPr>
            <w:tcW w:type="dxa" w:w="2045"/>
            <w:vAlign w:val="center"/>
            <w:tcMar>
              <w:top w:w="85" w:type="dxa"/>
              <w:bottom w:w="85" w:type="dxa"/>
              <w:left w:w="110" w:type="dxa"/>
              <w:right w:w="110" w:type="dxa"/>
            </w:tcMar>
            <w:shd w:fill="F5F7F9"/>
          </w:tcPr>
          <w:p>
            <w:pPr>
              <w:spacing w:after="0" w:line="254" w:lineRule="auto"/>
              <w:jc w:val="left"/>
            </w:pPr>
            <w:r>
              <w:rPr>
                <w:b w:val="0"/>
                <w:sz w:val="21"/>
              </w:rPr>
              <w:t>1675–1676</w:t>
            </w:r>
          </w:p>
        </w:tc>
        <w:tc>
          <w:tcPr>
            <w:tcW w:type="dxa" w:w="7747"/>
            <w:vAlign w:val="center"/>
            <w:tcMar>
              <w:top w:w="85" w:type="dxa"/>
              <w:bottom w:w="85" w:type="dxa"/>
              <w:left w:w="110" w:type="dxa"/>
              <w:right w:w="110" w:type="dxa"/>
            </w:tcMar>
            <w:shd w:fill="F5F7F9"/>
          </w:tcPr>
          <w:p>
            <w:pPr>
              <w:spacing w:after="0" w:line="254" w:lineRule="auto"/>
              <w:jc w:val="left"/>
            </w:pPr>
            <w:r>
              <w:rPr>
                <w:sz w:val="21"/>
              </w:rPr>
              <w:t>Henri Nouvel travels through the Tittabawassee system with Native companions during a winter mission. [3]</w:t>
            </w:r>
          </w:p>
        </w:tc>
      </w:tr>
      <w:tr>
        <w:trPr>
          <w:cantSplit/>
        </w:trPr>
        <w:tc>
          <w:tcPr>
            <w:tcW w:type="dxa" w:w="2045"/>
            <w:vAlign w:val="center"/>
            <w:tcMar>
              <w:top w:w="85" w:type="dxa"/>
              <w:bottom w:w="85" w:type="dxa"/>
              <w:left w:w="110" w:type="dxa"/>
              <w:right w:w="110" w:type="dxa"/>
            </w:tcMar>
            <w:shd w:fill="FFFFFF"/>
          </w:tcPr>
          <w:p>
            <w:pPr>
              <w:spacing w:after="0" w:line="254" w:lineRule="auto"/>
              <w:jc w:val="left"/>
            </w:pPr>
            <w:r>
              <w:rPr>
                <w:b w:val="0"/>
                <w:sz w:val="21"/>
              </w:rPr>
              <w:t>1700s</w:t>
            </w:r>
          </w:p>
        </w:tc>
        <w:tc>
          <w:tcPr>
            <w:tcW w:type="dxa" w:w="7747"/>
            <w:vAlign w:val="center"/>
            <w:tcMar>
              <w:top w:w="85" w:type="dxa"/>
              <w:bottom w:w="85" w:type="dxa"/>
              <w:left w:w="110" w:type="dxa"/>
              <w:right w:w="110" w:type="dxa"/>
            </w:tcMar>
            <w:shd w:fill="FFFFFF"/>
          </w:tcPr>
          <w:p>
            <w:pPr>
              <w:spacing w:after="0" w:line="254" w:lineRule="auto"/>
              <w:jc w:val="left"/>
            </w:pPr>
            <w:r>
              <w:rPr>
                <w:sz w:val="21"/>
              </w:rPr>
              <w:t>Written records show a growing Ojibwe presence in the wider Saginaw Valley. [3]</w:t>
            </w:r>
          </w:p>
        </w:tc>
      </w:tr>
      <w:tr>
        <w:trPr>
          <w:cantSplit/>
        </w:trPr>
        <w:tc>
          <w:tcPr>
            <w:tcW w:type="dxa" w:w="2045"/>
            <w:vAlign w:val="center"/>
            <w:tcMar>
              <w:top w:w="85" w:type="dxa"/>
              <w:bottom w:w="85" w:type="dxa"/>
              <w:left w:w="110" w:type="dxa"/>
              <w:right w:w="110" w:type="dxa"/>
            </w:tcMar>
            <w:shd w:fill="F5F7F9"/>
          </w:tcPr>
          <w:p>
            <w:pPr>
              <w:spacing w:after="0" w:line="254" w:lineRule="auto"/>
              <w:jc w:val="left"/>
            </w:pPr>
            <w:r>
              <w:rPr>
                <w:b w:val="0"/>
                <w:sz w:val="21"/>
              </w:rPr>
              <w:t>September 24 1819</w:t>
            </w:r>
          </w:p>
        </w:tc>
        <w:tc>
          <w:tcPr>
            <w:tcW w:type="dxa" w:w="7747"/>
            <w:vAlign w:val="center"/>
            <w:tcMar>
              <w:top w:w="85" w:type="dxa"/>
              <w:bottom w:w="85" w:type="dxa"/>
              <w:left w:w="110" w:type="dxa"/>
              <w:right w:w="110" w:type="dxa"/>
            </w:tcMar>
            <w:shd w:fill="F5F7F9"/>
          </w:tcPr>
          <w:p>
            <w:pPr>
              <w:spacing w:after="0" w:line="254" w:lineRule="auto"/>
              <w:jc w:val="left"/>
            </w:pPr>
            <w:r>
              <w:rPr>
                <w:sz w:val="21"/>
              </w:rPr>
              <w:t>Treaty of Saginaw reserves 6,000 acres each at Little Forks and Black Bird's town. [2]</w:t>
            </w:r>
          </w:p>
        </w:tc>
      </w:tr>
      <w:tr>
        <w:trPr>
          <w:cantSplit/>
        </w:trPr>
        <w:tc>
          <w:tcPr>
            <w:tcW w:type="dxa" w:w="2045"/>
            <w:vAlign w:val="center"/>
            <w:tcMar>
              <w:top w:w="85" w:type="dxa"/>
              <w:bottom w:w="85" w:type="dxa"/>
              <w:left w:w="110" w:type="dxa"/>
              <w:right w:w="110" w:type="dxa"/>
            </w:tcMar>
            <w:shd w:fill="FFFFFF"/>
          </w:tcPr>
          <w:p>
            <w:pPr>
              <w:spacing w:after="0" w:line="254" w:lineRule="auto"/>
              <w:jc w:val="left"/>
            </w:pPr>
            <w:r>
              <w:rPr>
                <w:b w:val="0"/>
                <w:sz w:val="21"/>
              </w:rPr>
              <w:t>January 14 1837</w:t>
            </w:r>
          </w:p>
        </w:tc>
        <w:tc>
          <w:tcPr>
            <w:tcW w:type="dxa" w:w="7747"/>
            <w:vAlign w:val="center"/>
            <w:tcMar>
              <w:top w:w="85" w:type="dxa"/>
              <w:bottom w:w="85" w:type="dxa"/>
              <w:left w:w="110" w:type="dxa"/>
              <w:right w:w="110" w:type="dxa"/>
            </w:tcMar>
            <w:shd w:fill="FFFFFF"/>
          </w:tcPr>
          <w:p>
            <w:pPr>
              <w:spacing w:after="0" w:line="254" w:lineRule="auto"/>
              <w:jc w:val="left"/>
            </w:pPr>
            <w:r>
              <w:rPr>
                <w:sz w:val="21"/>
              </w:rPr>
              <w:t>A new treaty cedes the two Tittabawassee reserves and calls for removal from Michigan. [10]</w:t>
            </w:r>
          </w:p>
        </w:tc>
      </w:tr>
      <w:tr>
        <w:trPr>
          <w:cantSplit/>
        </w:trPr>
        <w:tc>
          <w:tcPr>
            <w:tcW w:type="dxa" w:w="2045"/>
            <w:vAlign w:val="center"/>
            <w:tcMar>
              <w:top w:w="85" w:type="dxa"/>
              <w:bottom w:w="85" w:type="dxa"/>
              <w:left w:w="110" w:type="dxa"/>
              <w:right w:w="110" w:type="dxa"/>
            </w:tcMar>
            <w:shd w:fill="F5F7F9"/>
          </w:tcPr>
          <w:p>
            <w:pPr>
              <w:spacing w:after="0" w:line="254" w:lineRule="auto"/>
              <w:jc w:val="left"/>
            </w:pPr>
            <w:r>
              <w:rPr>
                <w:b w:val="0"/>
                <w:sz w:val="21"/>
              </w:rPr>
              <w:t>December 20 1837</w:t>
            </w:r>
          </w:p>
        </w:tc>
        <w:tc>
          <w:tcPr>
            <w:tcW w:type="dxa" w:w="7747"/>
            <w:vAlign w:val="center"/>
            <w:tcMar>
              <w:top w:w="85" w:type="dxa"/>
              <w:bottom w:w="85" w:type="dxa"/>
              <w:left w:w="110" w:type="dxa"/>
              <w:right w:w="110" w:type="dxa"/>
            </w:tcMar>
            <w:shd w:fill="F5F7F9"/>
          </w:tcPr>
          <w:p>
            <w:pPr>
              <w:spacing w:after="0" w:line="254" w:lineRule="auto"/>
              <w:jc w:val="left"/>
            </w:pPr>
            <w:r>
              <w:rPr>
                <w:sz w:val="21"/>
              </w:rPr>
              <w:t>A supplemental treaty specifies a proposed relocation near the headwaters of the Osage River. [11]</w:t>
            </w:r>
          </w:p>
        </w:tc>
      </w:tr>
      <w:tr>
        <w:trPr>
          <w:cantSplit/>
        </w:trPr>
        <w:tc>
          <w:tcPr>
            <w:tcW w:type="dxa" w:w="2045"/>
            <w:vAlign w:val="center"/>
            <w:tcMar>
              <w:top w:w="85" w:type="dxa"/>
              <w:bottom w:w="85" w:type="dxa"/>
              <w:left w:w="110" w:type="dxa"/>
              <w:right w:w="110" w:type="dxa"/>
            </w:tcMar>
            <w:shd w:fill="FFFFFF"/>
          </w:tcPr>
          <w:p>
            <w:pPr>
              <w:spacing w:after="0" w:line="254" w:lineRule="auto"/>
              <w:jc w:val="left"/>
            </w:pPr>
            <w:r>
              <w:rPr>
                <w:b w:val="0"/>
                <w:sz w:val="21"/>
              </w:rPr>
              <w:t>August 2 1855</w:t>
            </w:r>
          </w:p>
        </w:tc>
        <w:tc>
          <w:tcPr>
            <w:tcW w:type="dxa" w:w="7747"/>
            <w:vAlign w:val="center"/>
            <w:tcMar>
              <w:top w:w="85" w:type="dxa"/>
              <w:bottom w:w="85" w:type="dxa"/>
              <w:left w:w="110" w:type="dxa"/>
              <w:right w:w="110" w:type="dxa"/>
            </w:tcMar>
            <w:shd w:fill="FFFFFF"/>
          </w:tcPr>
          <w:p>
            <w:pPr>
              <w:spacing w:after="0" w:line="254" w:lineRule="auto"/>
              <w:jc w:val="left"/>
            </w:pPr>
            <w:r>
              <w:rPr>
                <w:sz w:val="21"/>
              </w:rPr>
              <w:t>Treaty establishes land selection provisions in Isabella County and near Saginaw Bay. Ratified in 1856. [12]</w:t>
            </w:r>
          </w:p>
        </w:tc>
      </w:tr>
      <w:tr>
        <w:trPr>
          <w:cantSplit/>
        </w:trPr>
        <w:tc>
          <w:tcPr>
            <w:tcW w:type="dxa" w:w="2045"/>
            <w:vAlign w:val="center"/>
            <w:tcMar>
              <w:top w:w="85" w:type="dxa"/>
              <w:bottom w:w="85" w:type="dxa"/>
              <w:left w:w="110" w:type="dxa"/>
              <w:right w:w="110" w:type="dxa"/>
            </w:tcMar>
            <w:shd w:fill="F5F7F9"/>
          </w:tcPr>
          <w:p>
            <w:pPr>
              <w:spacing w:after="0" w:line="254" w:lineRule="auto"/>
              <w:jc w:val="left"/>
            </w:pPr>
            <w:r>
              <w:rPr>
                <w:b w:val="0"/>
                <w:sz w:val="21"/>
              </w:rPr>
              <w:t>October 18 1864</w:t>
            </w:r>
          </w:p>
        </w:tc>
        <w:tc>
          <w:tcPr>
            <w:tcW w:type="dxa" w:w="7747"/>
            <w:vAlign w:val="center"/>
            <w:tcMar>
              <w:top w:w="85" w:type="dxa"/>
              <w:bottom w:w="85" w:type="dxa"/>
              <w:left w:w="110" w:type="dxa"/>
              <w:right w:w="110" w:type="dxa"/>
            </w:tcMar>
            <w:shd w:fill="F5F7F9"/>
          </w:tcPr>
          <w:p>
            <w:pPr>
              <w:spacing w:after="0" w:line="254" w:lineRule="auto"/>
              <w:jc w:val="left"/>
            </w:pPr>
            <w:r>
              <w:rPr>
                <w:sz w:val="21"/>
              </w:rPr>
              <w:t>Treaty reaffirms the Isabella land base and revises individual land selections. Ratified in 1866. [13]</w:t>
            </w:r>
          </w:p>
        </w:tc>
      </w:tr>
      <w:tr>
        <w:trPr>
          <w:cantSplit/>
        </w:trPr>
        <w:tc>
          <w:tcPr>
            <w:tcW w:type="dxa" w:w="2045"/>
            <w:vAlign w:val="center"/>
            <w:tcMar>
              <w:top w:w="85" w:type="dxa"/>
              <w:bottom w:w="85" w:type="dxa"/>
              <w:left w:w="110" w:type="dxa"/>
              <w:right w:w="110" w:type="dxa"/>
            </w:tcMar>
            <w:shd w:fill="FFFFFF"/>
          </w:tcPr>
          <w:p>
            <w:pPr>
              <w:spacing w:after="0" w:line="254" w:lineRule="auto"/>
              <w:jc w:val="left"/>
            </w:pPr>
            <w:r>
              <w:rPr>
                <w:b w:val="0"/>
                <w:sz w:val="21"/>
              </w:rPr>
              <w:t>Late 1800s to 1934</w:t>
            </w:r>
          </w:p>
        </w:tc>
        <w:tc>
          <w:tcPr>
            <w:tcW w:type="dxa" w:w="7747"/>
            <w:vAlign w:val="center"/>
            <w:tcMar>
              <w:top w:w="85" w:type="dxa"/>
              <w:bottom w:w="85" w:type="dxa"/>
              <w:left w:w="110" w:type="dxa"/>
              <w:right w:w="110" w:type="dxa"/>
            </w:tcMar>
            <w:shd w:fill="FFFFFF"/>
          </w:tcPr>
          <w:p>
            <w:pPr>
              <w:spacing w:after="0" w:line="254" w:lineRule="auto"/>
              <w:jc w:val="left"/>
            </w:pPr>
            <w:r>
              <w:rPr>
                <w:sz w:val="21"/>
              </w:rPr>
              <w:t>Allotment sales and exploitative dealings sharply reduce land in Native ownership. [14]</w:t>
            </w:r>
          </w:p>
        </w:tc>
      </w:tr>
      <w:tr>
        <w:trPr>
          <w:cantSplit/>
        </w:trPr>
        <w:tc>
          <w:tcPr>
            <w:tcW w:type="dxa" w:w="2045"/>
            <w:vAlign w:val="center"/>
            <w:tcMar>
              <w:top w:w="85" w:type="dxa"/>
              <w:bottom w:w="85" w:type="dxa"/>
              <w:left w:w="110" w:type="dxa"/>
              <w:right w:w="110" w:type="dxa"/>
            </w:tcMar>
            <w:shd w:fill="F5F7F9"/>
          </w:tcPr>
          <w:p>
            <w:pPr>
              <w:spacing w:after="0" w:line="254" w:lineRule="auto"/>
              <w:jc w:val="left"/>
            </w:pPr>
            <w:r>
              <w:rPr>
                <w:b w:val="0"/>
                <w:sz w:val="21"/>
              </w:rPr>
              <w:t>1893–1934</w:t>
            </w:r>
          </w:p>
        </w:tc>
        <w:tc>
          <w:tcPr>
            <w:tcW w:type="dxa" w:w="7747"/>
            <w:vAlign w:val="center"/>
            <w:tcMar>
              <w:top w:w="85" w:type="dxa"/>
              <w:bottom w:w="85" w:type="dxa"/>
              <w:left w:w="110" w:type="dxa"/>
              <w:right w:w="110" w:type="dxa"/>
            </w:tcMar>
            <w:shd w:fill="F5F7F9"/>
          </w:tcPr>
          <w:p>
            <w:pPr>
              <w:spacing w:after="0" w:line="254" w:lineRule="auto"/>
              <w:jc w:val="left"/>
            </w:pPr>
            <w:r>
              <w:rPr>
                <w:sz w:val="21"/>
              </w:rPr>
              <w:t>Mount Pleasant Indian Industrial Boarding School operates. [15]</w:t>
            </w:r>
          </w:p>
        </w:tc>
      </w:tr>
      <w:tr>
        <w:trPr>
          <w:cantSplit/>
        </w:trPr>
        <w:tc>
          <w:tcPr>
            <w:tcW w:type="dxa" w:w="2045"/>
            <w:vAlign w:val="center"/>
            <w:tcMar>
              <w:top w:w="85" w:type="dxa"/>
              <w:bottom w:w="85" w:type="dxa"/>
              <w:left w:w="110" w:type="dxa"/>
              <w:right w:w="110" w:type="dxa"/>
            </w:tcMar>
            <w:shd w:fill="FFFFFF"/>
          </w:tcPr>
          <w:p>
            <w:pPr>
              <w:spacing w:after="0" w:line="254" w:lineRule="auto"/>
              <w:jc w:val="left"/>
            </w:pPr>
            <w:r>
              <w:rPr>
                <w:b w:val="0"/>
                <w:sz w:val="21"/>
              </w:rPr>
              <w:t>1937</w:t>
            </w:r>
          </w:p>
        </w:tc>
        <w:tc>
          <w:tcPr>
            <w:tcW w:type="dxa" w:w="7747"/>
            <w:vAlign w:val="center"/>
            <w:tcMar>
              <w:top w:w="85" w:type="dxa"/>
              <w:bottom w:w="85" w:type="dxa"/>
              <w:left w:w="110" w:type="dxa"/>
              <w:right w:w="110" w:type="dxa"/>
            </w:tcMar>
            <w:shd w:fill="FFFFFF"/>
          </w:tcPr>
          <w:p>
            <w:pPr>
              <w:spacing w:after="0" w:line="254" w:lineRule="auto"/>
              <w:jc w:val="left"/>
            </w:pPr>
            <w:r>
              <w:rPr>
                <w:sz w:val="21"/>
              </w:rPr>
              <w:t>The Saginaw Chippewa reorganize their government under the Indian Reorganization Act. [1]</w:t>
            </w:r>
          </w:p>
        </w:tc>
      </w:tr>
      <w:tr>
        <w:trPr>
          <w:cantSplit/>
        </w:trPr>
        <w:tc>
          <w:tcPr>
            <w:tcW w:type="dxa" w:w="2045"/>
            <w:vAlign w:val="center"/>
            <w:tcMar>
              <w:top w:w="85" w:type="dxa"/>
              <w:bottom w:w="85" w:type="dxa"/>
              <w:left w:w="110" w:type="dxa"/>
              <w:right w:w="110" w:type="dxa"/>
            </w:tcMar>
            <w:shd w:fill="F5F7F9"/>
          </w:tcPr>
          <w:p>
            <w:pPr>
              <w:spacing w:after="0" w:line="254" w:lineRule="auto"/>
              <w:jc w:val="left"/>
            </w:pPr>
            <w:r>
              <w:rPr>
                <w:b w:val="0"/>
                <w:sz w:val="21"/>
              </w:rPr>
              <w:t>1998</w:t>
            </w:r>
          </w:p>
        </w:tc>
        <w:tc>
          <w:tcPr>
            <w:tcW w:type="dxa" w:w="7747"/>
            <w:vAlign w:val="center"/>
            <w:tcMar>
              <w:top w:w="85" w:type="dxa"/>
              <w:bottom w:w="85" w:type="dxa"/>
              <w:left w:w="110" w:type="dxa"/>
              <w:right w:w="110" w:type="dxa"/>
            </w:tcMar>
            <w:shd w:fill="F5F7F9"/>
          </w:tcPr>
          <w:p>
            <w:pPr>
              <w:spacing w:after="0" w:line="254" w:lineRule="auto"/>
              <w:jc w:val="left"/>
            </w:pPr>
            <w:r>
              <w:rPr>
                <w:sz w:val="21"/>
              </w:rPr>
              <w:t>Tribal Council establishes Saginaw Chippewa Tribal College. [16]</w:t>
            </w:r>
          </w:p>
        </w:tc>
      </w:tr>
      <w:tr>
        <w:trPr>
          <w:cantSplit/>
        </w:trPr>
        <w:tc>
          <w:tcPr>
            <w:tcW w:type="dxa" w:w="2045"/>
            <w:vAlign w:val="center"/>
            <w:tcMar>
              <w:top w:w="85" w:type="dxa"/>
              <w:bottom w:w="85" w:type="dxa"/>
              <w:left w:w="110" w:type="dxa"/>
              <w:right w:w="110" w:type="dxa"/>
            </w:tcMar>
            <w:shd w:fill="FFFFFF"/>
          </w:tcPr>
          <w:p>
            <w:pPr>
              <w:spacing w:after="0" w:line="254" w:lineRule="auto"/>
              <w:jc w:val="left"/>
            </w:pPr>
            <w:r>
              <w:rPr>
                <w:b w:val="0"/>
                <w:sz w:val="21"/>
              </w:rPr>
              <w:t>May 21 2004</w:t>
            </w:r>
          </w:p>
        </w:tc>
        <w:tc>
          <w:tcPr>
            <w:tcW w:type="dxa" w:w="7747"/>
            <w:vAlign w:val="center"/>
            <w:tcMar>
              <w:top w:w="85" w:type="dxa"/>
              <w:bottom w:w="85" w:type="dxa"/>
              <w:left w:w="110" w:type="dxa"/>
              <w:right w:w="110" w:type="dxa"/>
            </w:tcMar>
            <w:shd w:fill="FFFFFF"/>
          </w:tcPr>
          <w:p>
            <w:pPr>
              <w:spacing w:after="0" w:line="254" w:lineRule="auto"/>
              <w:jc w:val="left"/>
            </w:pPr>
            <w:r>
              <w:rPr>
                <w:sz w:val="21"/>
              </w:rPr>
              <w:t>Ziibiwing Center of Anishinabe Culture and Lifeways opens. [1]</w:t>
            </w:r>
          </w:p>
        </w:tc>
      </w:tr>
      <w:tr>
        <w:trPr>
          <w:cantSplit/>
        </w:trPr>
        <w:tc>
          <w:tcPr>
            <w:tcW w:type="dxa" w:w="2045"/>
            <w:vAlign w:val="center"/>
            <w:tcMar>
              <w:top w:w="85" w:type="dxa"/>
              <w:bottom w:w="85" w:type="dxa"/>
              <w:left w:w="110" w:type="dxa"/>
              <w:right w:w="110" w:type="dxa"/>
            </w:tcMar>
            <w:shd w:fill="F5F7F9"/>
          </w:tcPr>
          <w:p>
            <w:pPr>
              <w:spacing w:after="0" w:line="254" w:lineRule="auto"/>
              <w:jc w:val="left"/>
            </w:pPr>
            <w:r>
              <w:rPr>
                <w:b w:val="0"/>
                <w:sz w:val="21"/>
              </w:rPr>
              <w:t>November 23 2010</w:t>
            </w:r>
          </w:p>
        </w:tc>
        <w:tc>
          <w:tcPr>
            <w:tcW w:type="dxa" w:w="7747"/>
            <w:vAlign w:val="center"/>
            <w:tcMar>
              <w:top w:w="85" w:type="dxa"/>
              <w:bottom w:w="85" w:type="dxa"/>
              <w:left w:w="110" w:type="dxa"/>
              <w:right w:w="110" w:type="dxa"/>
            </w:tcMar>
            <w:shd w:fill="F5F7F9"/>
          </w:tcPr>
          <w:p>
            <w:pPr>
              <w:spacing w:after="0" w:line="254" w:lineRule="auto"/>
              <w:jc w:val="left"/>
            </w:pPr>
            <w:r>
              <w:rPr>
                <w:sz w:val="21"/>
              </w:rPr>
              <w:t>Court approves a settlement recognizing the Isabella Reservation as Indian Country. [17]</w:t>
            </w:r>
          </w:p>
        </w:tc>
      </w:tr>
      <w:tr>
        <w:trPr>
          <w:cantSplit/>
        </w:trPr>
        <w:tc>
          <w:tcPr>
            <w:tcW w:type="dxa" w:w="2045"/>
            <w:vAlign w:val="center"/>
            <w:tcMar>
              <w:top w:w="85" w:type="dxa"/>
              <w:bottom w:w="85" w:type="dxa"/>
              <w:left w:w="110" w:type="dxa"/>
              <w:right w:w="110" w:type="dxa"/>
            </w:tcMar>
            <w:shd w:fill="FFFFFF"/>
          </w:tcPr>
          <w:p>
            <w:pPr>
              <w:spacing w:after="0" w:line="254" w:lineRule="auto"/>
              <w:jc w:val="left"/>
            </w:pPr>
            <w:r>
              <w:rPr>
                <w:b w:val="0"/>
                <w:sz w:val="21"/>
              </w:rPr>
              <w:t>2011</w:t>
            </w:r>
          </w:p>
        </w:tc>
        <w:tc>
          <w:tcPr>
            <w:tcW w:type="dxa" w:w="7747"/>
            <w:vAlign w:val="center"/>
            <w:tcMar>
              <w:top w:w="85" w:type="dxa"/>
              <w:bottom w:w="85" w:type="dxa"/>
              <w:left w:w="110" w:type="dxa"/>
              <w:right w:w="110" w:type="dxa"/>
            </w:tcMar>
            <w:shd w:fill="FFFFFF"/>
          </w:tcPr>
          <w:p>
            <w:pPr>
              <w:spacing w:after="0" w:line="254" w:lineRule="auto"/>
              <w:jc w:val="left"/>
            </w:pPr>
            <w:r>
              <w:rPr>
                <w:sz w:val="21"/>
              </w:rPr>
              <w:t>Tribe accepts former boarding school property and begins an annual remembrance observance. [15]</w:t>
            </w:r>
          </w:p>
        </w:tc>
      </w:tr>
      <w:tr>
        <w:trPr>
          <w:cantSplit/>
        </w:trPr>
        <w:tc>
          <w:tcPr>
            <w:tcW w:type="dxa" w:w="2045"/>
            <w:vAlign w:val="center"/>
            <w:tcMar>
              <w:top w:w="85" w:type="dxa"/>
              <w:bottom w:w="85" w:type="dxa"/>
              <w:left w:w="110" w:type="dxa"/>
              <w:right w:w="110" w:type="dxa"/>
            </w:tcMar>
            <w:shd w:fill="F5F7F9"/>
          </w:tcPr>
          <w:p>
            <w:pPr>
              <w:spacing w:after="0" w:line="254" w:lineRule="auto"/>
              <w:jc w:val="left"/>
            </w:pPr>
            <w:r>
              <w:rPr>
                <w:b w:val="0"/>
                <w:sz w:val="21"/>
              </w:rPr>
              <w:t>July 27 2020</w:t>
            </w:r>
          </w:p>
        </w:tc>
        <w:tc>
          <w:tcPr>
            <w:tcW w:type="dxa" w:w="7747"/>
            <w:vAlign w:val="center"/>
            <w:tcMar>
              <w:top w:w="85" w:type="dxa"/>
              <w:bottom w:w="85" w:type="dxa"/>
              <w:left w:w="110" w:type="dxa"/>
              <w:right w:w="110" w:type="dxa"/>
            </w:tcMar>
            <w:shd w:fill="F5F7F9"/>
          </w:tcPr>
          <w:p>
            <w:pPr>
              <w:spacing w:after="0" w:line="254" w:lineRule="auto"/>
              <w:jc w:val="left"/>
            </w:pPr>
            <w:r>
              <w:rPr>
                <w:sz w:val="21"/>
              </w:rPr>
              <w:t>Finalized river damage settlement includes tribal cultural habitat restoration funding. [18]</w:t>
            </w:r>
          </w:p>
        </w:tc>
      </w:tr>
    </w:tbl>
    <w:p>
      <w:r>
        <w:br w:type="page"/>
      </w:r>
    </w:p>
    <w:p>
      <w:pPr>
        <w:pStyle w:val="Heading1"/>
      </w:pPr>
      <w:r>
        <w:t>Sources</w:t>
      </w:r>
    </w:p>
    <w:p>
      <w:r>
        <w:t>Numbers in the text refer to these sources. Treaties are edited transcriptions of primary documents. Tribal publications provide the community's own historical and cultural accounts. The archaeology article supplies scholarly interpretation of the early regional evidence.</w:t>
      </w:r>
    </w:p>
    <w:p>
      <w:pPr>
        <w:keepNext/>
        <w:spacing w:before="100" w:after="20"/>
      </w:pPr>
      <w:r>
        <w:rPr>
          <w:b/>
          <w:sz w:val="21"/>
        </w:rPr>
        <w:t xml:space="preserve">[1] </w:t>
      </w:r>
      <w:r>
        <w:rPr>
          <w:sz w:val="21"/>
        </w:rPr>
        <w:t>Saginaw Chippewa Indian Tribe, Ziibiwing Center. History. Tribal historical account and chronology.</w:t>
      </w:r>
    </w:p>
    <w:p>
      <w:pPr>
        <w:spacing w:after="120" w:line="240" w:lineRule="auto"/>
      </w:pPr>
      <w:hyperlink r:id="rId9">
        <w:r>
          <w:rPr>
            <w:color w:val="234D6A"/>
            <w:u w:val="single"/>
            <w:sz w:val="20"/>
          </w:rPr>
          <w:t>https://www.sagchip.org/ziibiwing/aboutus/history.htm</w:t>
        </w:r>
      </w:hyperlink>
    </w:p>
    <w:p>
      <w:pPr>
        <w:keepNext/>
        <w:spacing w:before="100" w:after="20"/>
      </w:pPr>
      <w:r>
        <w:rPr>
          <w:b/>
          <w:sz w:val="21"/>
        </w:rPr>
        <w:t xml:space="preserve">[2] </w:t>
      </w:r>
      <w:r>
        <w:rPr>
          <w:sz w:val="21"/>
        </w:rPr>
        <w:t>Treaty with the Chippewa, September 24, 1819. 7 Stat. 203. Oklahoma State University treaty collection. Primary document.</w:t>
      </w:r>
    </w:p>
    <w:p>
      <w:pPr>
        <w:spacing w:after="120" w:line="240" w:lineRule="auto"/>
      </w:pPr>
      <w:hyperlink r:id="rId10">
        <w:r>
          <w:rPr>
            <w:color w:val="234D6A"/>
            <w:u w:val="single"/>
            <w:sz w:val="20"/>
          </w:rPr>
          <w:t>https://treaties.okstate.edu/treaties/treaty-with-the-chippewa-1819-0185</w:t>
        </w:r>
      </w:hyperlink>
    </w:p>
    <w:p>
      <w:pPr>
        <w:keepNext/>
        <w:spacing w:before="100" w:after="20"/>
      </w:pPr>
      <w:r>
        <w:rPr>
          <w:b/>
          <w:sz w:val="21"/>
        </w:rPr>
        <w:t xml:space="preserve">[3] </w:t>
      </w:r>
      <w:r>
        <w:rPr>
          <w:sz w:val="21"/>
        </w:rPr>
        <w:t>Fitting, James E. Scheduling in a Shared Environment: Late Period Land Use Patterns in the Saginaw Valley of Michigan. Ontario Archaeology 16 (1971): 36–41. Scholarly archaeology article.</w:t>
      </w:r>
    </w:p>
    <w:p>
      <w:pPr>
        <w:spacing w:after="120" w:line="240" w:lineRule="auto"/>
      </w:pPr>
      <w:hyperlink r:id="rId11">
        <w:r>
          <w:rPr>
            <w:color w:val="234D6A"/>
            <w:u w:val="single"/>
            <w:sz w:val="20"/>
          </w:rPr>
          <w:t>https://ontarioarchaeology.org/wp-content/uploads/oa016-03_fitting.pdf</w:t>
        </w:r>
      </w:hyperlink>
    </w:p>
    <w:p>
      <w:pPr>
        <w:keepNext/>
        <w:spacing w:before="100" w:after="20"/>
      </w:pPr>
      <w:r>
        <w:rPr>
          <w:b/>
          <w:sz w:val="21"/>
        </w:rPr>
        <w:t xml:space="preserve">[4] </w:t>
      </w:r>
      <w:r>
        <w:rPr>
          <w:sz w:val="21"/>
        </w:rPr>
        <w:t>University of Minnesota, Ojibwe People's Dictionary. About the Ojibwe Language. University linguistic reference; regional variety identified on the page.</w:t>
      </w:r>
    </w:p>
    <w:p>
      <w:pPr>
        <w:spacing w:after="120" w:line="240" w:lineRule="auto"/>
      </w:pPr>
      <w:hyperlink r:id="rId12">
        <w:r>
          <w:rPr>
            <w:color w:val="234D6A"/>
            <w:u w:val="single"/>
            <w:sz w:val="20"/>
          </w:rPr>
          <w:t>https://ojibwe.lib.umn.edu/about-ojibwe-language</w:t>
        </w:r>
      </w:hyperlink>
    </w:p>
    <w:p>
      <w:pPr>
        <w:keepNext/>
        <w:spacing w:before="100" w:after="20"/>
      </w:pPr>
      <w:r>
        <w:rPr>
          <w:b/>
          <w:sz w:val="21"/>
        </w:rPr>
        <w:t xml:space="preserve">[5] </w:t>
      </w:r>
      <w:r>
        <w:rPr>
          <w:sz w:val="21"/>
        </w:rPr>
        <w:t>Ziibiwing Center. Ziisibaakodokaaning The Sugarbush. Little Teaching Books, part 3. Tribal cultural account.</w:t>
      </w:r>
    </w:p>
    <w:p>
      <w:pPr>
        <w:spacing w:after="120" w:line="240" w:lineRule="auto"/>
      </w:pPr>
      <w:hyperlink r:id="rId13">
        <w:r>
          <w:rPr>
            <w:color w:val="234D6A"/>
            <w:u w:val="single"/>
            <w:sz w:val="20"/>
          </w:rPr>
          <w:t>https://www.sagchip.org/ziibiwing/aboutus/pdf/Sugarbush.pdf</w:t>
        </w:r>
      </w:hyperlink>
    </w:p>
    <w:p>
      <w:pPr>
        <w:keepNext/>
        <w:spacing w:before="100" w:after="20"/>
      </w:pPr>
      <w:r>
        <w:rPr>
          <w:b/>
          <w:sz w:val="21"/>
        </w:rPr>
        <w:t xml:space="preserve">[6] </w:t>
      </w:r>
      <w:r>
        <w:rPr>
          <w:sz w:val="21"/>
        </w:rPr>
        <w:t>Ziibiwing Center. Wiigwaas Birchbark. Little Teaching Books, part 5. Tribal cultural account.</w:t>
      </w:r>
    </w:p>
    <w:p>
      <w:pPr>
        <w:spacing w:after="120" w:line="240" w:lineRule="auto"/>
      </w:pPr>
      <w:hyperlink r:id="rId14">
        <w:r>
          <w:rPr>
            <w:color w:val="234D6A"/>
            <w:u w:val="single"/>
            <w:sz w:val="20"/>
          </w:rPr>
          <w:t>https://www.sagchip.org/ziibiwing/aboutus/pdf/Birchbark.pdf</w:t>
        </w:r>
      </w:hyperlink>
    </w:p>
    <w:p>
      <w:pPr>
        <w:keepNext/>
        <w:spacing w:before="100" w:after="20"/>
      </w:pPr>
      <w:r>
        <w:rPr>
          <w:b/>
          <w:sz w:val="21"/>
        </w:rPr>
        <w:t xml:space="preserve">[7] </w:t>
      </w:r>
      <w:r>
        <w:rPr>
          <w:sz w:val="21"/>
        </w:rPr>
        <w:t>Ziibiwing Center. Clan System Teachings. Little Teaching Books, part 2. Tribal cultural account.</w:t>
      </w:r>
    </w:p>
    <w:p>
      <w:pPr>
        <w:spacing w:after="120" w:line="240" w:lineRule="auto"/>
      </w:pPr>
      <w:hyperlink r:id="rId15">
        <w:r>
          <w:rPr>
            <w:color w:val="234D6A"/>
            <w:u w:val="single"/>
            <w:sz w:val="20"/>
          </w:rPr>
          <w:t>https://www.sagchip.org/ziibiwing/aboutus/pdf/%20Clans.pdf</w:t>
        </w:r>
      </w:hyperlink>
    </w:p>
    <w:p>
      <w:pPr>
        <w:keepNext/>
        <w:spacing w:before="100" w:after="20"/>
      </w:pPr>
      <w:r>
        <w:rPr>
          <w:b/>
          <w:sz w:val="21"/>
        </w:rPr>
        <w:t xml:space="preserve">[8] </w:t>
      </w:r>
      <w:r>
        <w:rPr>
          <w:sz w:val="21"/>
        </w:rPr>
        <w:t>Ziibiwing Center. Cultural Presenters Program. Tribal explanations of basketry, cradleboards, music, plants and powwows.</w:t>
      </w:r>
    </w:p>
    <w:p>
      <w:pPr>
        <w:spacing w:after="120" w:line="240" w:lineRule="auto"/>
      </w:pPr>
      <w:hyperlink r:id="rId16">
        <w:r>
          <w:rPr>
            <w:color w:val="234D6A"/>
            <w:u w:val="single"/>
            <w:sz w:val="20"/>
          </w:rPr>
          <w:t>https://www.sagchip.org/ziibiwing/planyourvisit/educators/culturalPresenters.htm</w:t>
        </w:r>
      </w:hyperlink>
    </w:p>
    <w:p>
      <w:pPr>
        <w:keepNext/>
        <w:spacing w:before="100" w:after="20"/>
      </w:pPr>
      <w:r>
        <w:rPr>
          <w:b/>
          <w:sz w:val="21"/>
        </w:rPr>
        <w:t xml:space="preserve">[9] </w:t>
      </w:r>
      <w:r>
        <w:rPr>
          <w:sz w:val="21"/>
        </w:rPr>
        <w:t>Blackbird, Andrew J. History of the Ottawa and Chippewa Indians of Michigan. Ypsilanti: Ypsilantian Job Printing House, 1887. Chapter 7. Primary memoir, in transcription hosted by the University of Wisconsin.</w:t>
      </w:r>
    </w:p>
    <w:p>
      <w:pPr>
        <w:spacing w:after="120" w:line="240" w:lineRule="auto"/>
      </w:pPr>
      <w:hyperlink r:id="rId17">
        <w:r>
          <w:rPr>
            <w:color w:val="234D6A"/>
            <w:u w:val="single"/>
            <w:sz w:val="20"/>
          </w:rPr>
          <w:t>https://ojibwegrammar.langsci.wisc.edu/Assets/Pdfs/BookBlackbird.pdf</w:t>
        </w:r>
      </w:hyperlink>
    </w:p>
    <w:p>
      <w:pPr>
        <w:keepNext/>
        <w:spacing w:before="100" w:after="20"/>
      </w:pPr>
      <w:r>
        <w:rPr>
          <w:b/>
          <w:sz w:val="21"/>
        </w:rPr>
        <w:t xml:space="preserve">[10] </w:t>
      </w:r>
      <w:r>
        <w:rPr>
          <w:sz w:val="21"/>
        </w:rPr>
        <w:t>Treaty with the Chippewa, January 14, 1837. 7 Stat. 528. Oklahoma State University treaty collection. Primary document.</w:t>
      </w:r>
    </w:p>
    <w:p>
      <w:pPr>
        <w:spacing w:after="120" w:line="240" w:lineRule="auto"/>
      </w:pPr>
      <w:hyperlink r:id="rId18">
        <w:r>
          <w:rPr>
            <w:color w:val="234D6A"/>
            <w:u w:val="single"/>
            <w:sz w:val="20"/>
          </w:rPr>
          <w:t>https://treaties.okstate.edu/treaties/treaty-with-the-chippewa-1837-0482</w:t>
        </w:r>
      </w:hyperlink>
    </w:p>
    <w:p>
      <w:r>
        <w:br w:type="page"/>
      </w:r>
    </w:p>
    <w:p>
      <w:pPr>
        <w:keepNext/>
        <w:spacing w:before="100" w:after="20"/>
      </w:pPr>
      <w:r>
        <w:rPr>
          <w:b/>
          <w:sz w:val="21"/>
        </w:rPr>
        <w:t xml:space="preserve">[11] </w:t>
      </w:r>
      <w:r>
        <w:rPr>
          <w:sz w:val="21"/>
        </w:rPr>
        <w:t>Treaty with the Chippewa, December 20, 1837. 7 Stat. 547. Oklahoma State University treaty collection. Primary document.</w:t>
      </w:r>
    </w:p>
    <w:p>
      <w:pPr>
        <w:spacing w:after="120" w:line="240" w:lineRule="auto"/>
      </w:pPr>
      <w:hyperlink r:id="rId19">
        <w:r>
          <w:rPr>
            <w:color w:val="234D6A"/>
            <w:u w:val="single"/>
            <w:sz w:val="20"/>
          </w:rPr>
          <w:t>https://treaties.okstate.edu/treaties/treaty-with-the-chippewa-1837-0501</w:t>
        </w:r>
      </w:hyperlink>
    </w:p>
    <w:p>
      <w:pPr>
        <w:keepNext/>
        <w:spacing w:before="100" w:after="20"/>
      </w:pPr>
      <w:r>
        <w:rPr>
          <w:b/>
          <w:sz w:val="21"/>
        </w:rPr>
        <w:t xml:space="preserve">[12] </w:t>
      </w:r>
      <w:r>
        <w:rPr>
          <w:sz w:val="21"/>
        </w:rPr>
        <w:t>Treaty with the Chippewa of Saginaw and others, August 2, 1855. 11 Stat. 633. Oklahoma State University treaty collection. Primary document.</w:t>
      </w:r>
    </w:p>
    <w:p>
      <w:pPr>
        <w:spacing w:after="120" w:line="240" w:lineRule="auto"/>
      </w:pPr>
      <w:hyperlink r:id="rId20">
        <w:r>
          <w:rPr>
            <w:color w:val="234D6A"/>
            <w:u w:val="single"/>
            <w:sz w:val="20"/>
          </w:rPr>
          <w:t>https://treaties.okstate.edu/treaties/treaty-with-the-chippewa-of-saginaw-etc-1855-0733</w:t>
        </w:r>
      </w:hyperlink>
    </w:p>
    <w:p>
      <w:pPr>
        <w:keepNext/>
        <w:spacing w:before="100" w:after="20"/>
      </w:pPr>
      <w:r>
        <w:rPr>
          <w:b/>
          <w:sz w:val="21"/>
        </w:rPr>
        <w:t xml:space="preserve">[13] </w:t>
      </w:r>
      <w:r>
        <w:rPr>
          <w:sz w:val="21"/>
        </w:rPr>
        <w:t>Treaty with the Chippewa of Saginaw, Swan Creek and Black River, October 18, 1864. 14 Stat. 637. Oklahoma State University treaty collection. Primary document.</w:t>
      </w:r>
    </w:p>
    <w:p>
      <w:pPr>
        <w:spacing w:after="120" w:line="240" w:lineRule="auto"/>
      </w:pPr>
      <w:hyperlink r:id="rId21">
        <w:r>
          <w:rPr>
            <w:color w:val="234D6A"/>
            <w:u w:val="single"/>
            <w:sz w:val="20"/>
          </w:rPr>
          <w:t>https://treaties.okstate.edu/treaties/treaty-with-the-chippewa-of-saginaw-swan-creek-and-black-river-1864-0868</w:t>
        </w:r>
      </w:hyperlink>
    </w:p>
    <w:p>
      <w:pPr>
        <w:keepNext/>
        <w:spacing w:before="100" w:after="20"/>
      </w:pPr>
      <w:r>
        <w:rPr>
          <w:b/>
          <w:sz w:val="21"/>
        </w:rPr>
        <w:t xml:space="preserve">[14] </w:t>
      </w:r>
      <w:r>
        <w:rPr>
          <w:sz w:val="21"/>
        </w:rPr>
        <w:t>Ziibiwing Center. Four Year Report 2004 to 2008. History of the Tribe section. Tribal institutional account of allotment loss and rebuilding.</w:t>
      </w:r>
    </w:p>
    <w:p>
      <w:pPr>
        <w:spacing w:after="120" w:line="240" w:lineRule="auto"/>
      </w:pPr>
      <w:hyperlink r:id="rId22">
        <w:r>
          <w:rPr>
            <w:color w:val="234D6A"/>
            <w:u w:val="single"/>
            <w:sz w:val="20"/>
          </w:rPr>
          <w:t>https://www.sagchip.org/ziibiwing/aboutus/pdf/4yrreportfinal.pdf</w:t>
        </w:r>
      </w:hyperlink>
    </w:p>
    <w:p>
      <w:pPr>
        <w:keepNext/>
        <w:spacing w:before="100" w:after="20"/>
      </w:pPr>
      <w:r>
        <w:rPr>
          <w:b/>
          <w:sz w:val="21"/>
        </w:rPr>
        <w:t xml:space="preserve">[15] </w:t>
      </w:r>
      <w:r>
        <w:rPr>
          <w:sz w:val="21"/>
        </w:rPr>
        <w:t>Saginaw Chippewa Indian Tribe. Mount Pleasant Indian Industrial Boarding School Timeline. Tribal chronology of the school and preservation work.</w:t>
      </w:r>
    </w:p>
    <w:p>
      <w:pPr>
        <w:spacing w:after="120" w:line="240" w:lineRule="auto"/>
      </w:pPr>
      <w:hyperlink r:id="rId23">
        <w:r>
          <w:rPr>
            <w:color w:val="234D6A"/>
            <w:u w:val="single"/>
            <w:sz w:val="20"/>
          </w:rPr>
          <w:t>https://www.sagchip.org/miibs/timeline.aspx</w:t>
        </w:r>
      </w:hyperlink>
    </w:p>
    <w:p>
      <w:pPr>
        <w:keepNext/>
        <w:spacing w:before="100" w:after="20"/>
      </w:pPr>
      <w:r>
        <w:rPr>
          <w:b/>
          <w:sz w:val="21"/>
        </w:rPr>
        <w:t xml:space="preserve">[16] </w:t>
      </w:r>
      <w:r>
        <w:rPr>
          <w:sz w:val="21"/>
        </w:rPr>
        <w:t>Saginaw Chippewa Tribal College. Our History. Primary institutional history of the college founded in 1998.</w:t>
      </w:r>
    </w:p>
    <w:p>
      <w:pPr>
        <w:spacing w:after="120" w:line="240" w:lineRule="auto"/>
      </w:pPr>
      <w:hyperlink r:id="rId24">
        <w:r>
          <w:rPr>
            <w:color w:val="234D6A"/>
            <w:u w:val="single"/>
            <w:sz w:val="20"/>
          </w:rPr>
          <w:t>https://www.sagchip.edu/our-history</w:t>
        </w:r>
      </w:hyperlink>
    </w:p>
    <w:p>
      <w:pPr>
        <w:keepNext/>
        <w:spacing w:before="100" w:after="20"/>
      </w:pPr>
      <w:r>
        <w:rPr>
          <w:b/>
          <w:sz w:val="21"/>
        </w:rPr>
        <w:t xml:space="preserve">[17] </w:t>
      </w:r>
      <w:r>
        <w:rPr>
          <w:sz w:val="21"/>
        </w:rPr>
        <w:t>U.S. Department of Justice. U.S. Court Approves Agreement Between Saginaw Chippewa Indian Tribe and Other Governments to Settle Jurisdiction. November 24, 2010. Official account of the previous day's settlement approval.</w:t>
      </w:r>
    </w:p>
    <w:p>
      <w:pPr>
        <w:spacing w:after="120" w:line="240" w:lineRule="auto"/>
      </w:pPr>
      <w:hyperlink r:id="rId25">
        <w:r>
          <w:rPr>
            <w:color w:val="234D6A"/>
            <w:u w:val="single"/>
            <w:sz w:val="20"/>
          </w:rPr>
          <w:t>https://www.justice.gov/archives/opa/pr/us-court-approves-agreement-between-saginaw-chippewa-indian-tribe-united-states-state</w:t>
        </w:r>
      </w:hyperlink>
    </w:p>
    <w:p>
      <w:pPr>
        <w:keepNext/>
        <w:spacing w:before="100" w:after="20"/>
      </w:pPr>
      <w:r>
        <w:rPr>
          <w:b/>
          <w:sz w:val="21"/>
        </w:rPr>
        <w:t xml:space="preserve">[18] </w:t>
      </w:r>
      <w:r>
        <w:rPr>
          <w:sz w:val="21"/>
        </w:rPr>
        <w:t>U.S. Fish and Wildlife Service. Tittabawassee River Saginaw Chippewa Indian Tribe Restoration. Official explanation of the 2020 settlement and cultural habitat funding.</w:t>
      </w:r>
    </w:p>
    <w:p>
      <w:pPr>
        <w:spacing w:after="120" w:line="240" w:lineRule="auto"/>
      </w:pPr>
      <w:hyperlink r:id="rId26">
        <w:r>
          <w:rPr>
            <w:color w:val="234D6A"/>
            <w:u w:val="single"/>
            <w:sz w:val="20"/>
          </w:rPr>
          <w:t>https://www.fws.gov/rivers/carp/carp/story/tittabawassee-river-saginaw-chippewa-indian-tribe-restoration</w:t>
        </w:r>
      </w:hyperlink>
    </w:p>
    <w:p>
      <w:pPr>
        <w:keepNext/>
        <w:spacing w:before="100" w:after="20"/>
      </w:pPr>
      <w:r>
        <w:rPr>
          <w:b/>
          <w:sz w:val="21"/>
        </w:rPr>
        <w:t xml:space="preserve">[19] </w:t>
      </w:r>
      <w:r>
        <w:rPr>
          <w:sz w:val="21"/>
        </w:rPr>
        <w:t>Saginaw Chippewa Indian Tribe. Letter to EPA concerning culturally significant sites within the Tittabawassee River, Saginaw River and Bay site. November 20, 2012. Includes historical atlas extracts. Primary tribal correspondence preserved by EPA.</w:t>
      </w:r>
    </w:p>
    <w:p>
      <w:pPr>
        <w:spacing w:after="120" w:line="240" w:lineRule="auto"/>
      </w:pPr>
      <w:hyperlink r:id="rId27">
        <w:r>
          <w:rPr>
            <w:color w:val="234D6A"/>
            <w:u w:val="single"/>
            <w:sz w:val="20"/>
          </w:rPr>
          <w:t>https://semspub.epa.gov/work/05/914885.pdf</w:t>
        </w:r>
      </w:hyperlink>
    </w:p>
    <w:sectPr w:rsidR="00FC693F" w:rsidRPr="0006063C" w:rsidSect="00034616">
      <w:footerReference w:type="default" r:id="rId28"/>
      <w:pgSz w:w="12240" w:h="15840"/>
      <w:pgMar w:top="1152" w:right="1224" w:bottom="1152" w:left="1224"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Times New Roman" w:hAnsi="Times New Roman" w:eastAsia="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imes New Roman" w:hAnsi="Times New Roman" w:eastAsia="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imes New Roman" w:hAnsi="Times New Roman" w:eastAsia="Times New Roman"/>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80"/>
    </w:pPr>
    <w:rPr>
      <w:rFonts w:ascii="Times New Roman" w:hAnsi="Times New Roman" w:eastAsia="Times New Roman"/>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sagchip.org/ziibiwing/aboutus/history.htm" TargetMode="External"/><Relationship Id="rId10" Type="http://schemas.openxmlformats.org/officeDocument/2006/relationships/hyperlink" Target="https://treaties.okstate.edu/treaties/treaty-with-the-chippewa-1819-0185" TargetMode="External"/><Relationship Id="rId11" Type="http://schemas.openxmlformats.org/officeDocument/2006/relationships/hyperlink" Target="https://ontarioarchaeology.org/wp-content/uploads/oa016-03_fitting.pdf" TargetMode="External"/><Relationship Id="rId12" Type="http://schemas.openxmlformats.org/officeDocument/2006/relationships/hyperlink" Target="https://ojibwe.lib.umn.edu/about-ojibwe-language" TargetMode="External"/><Relationship Id="rId13" Type="http://schemas.openxmlformats.org/officeDocument/2006/relationships/hyperlink" Target="https://www.sagchip.org/ziibiwing/aboutus/pdf/Sugarbush.pdf" TargetMode="External"/><Relationship Id="rId14" Type="http://schemas.openxmlformats.org/officeDocument/2006/relationships/hyperlink" Target="https://www.sagchip.org/ziibiwing/aboutus/pdf/Birchbark.pdf" TargetMode="External"/><Relationship Id="rId15" Type="http://schemas.openxmlformats.org/officeDocument/2006/relationships/hyperlink" Target="https://www.sagchip.org/ziibiwing/aboutus/pdf/%20Clans.pdf" TargetMode="External"/><Relationship Id="rId16" Type="http://schemas.openxmlformats.org/officeDocument/2006/relationships/hyperlink" Target="https://www.sagchip.org/ziibiwing/planyourvisit/educators/culturalPresenters.htm" TargetMode="External"/><Relationship Id="rId17" Type="http://schemas.openxmlformats.org/officeDocument/2006/relationships/hyperlink" Target="https://ojibwegrammar.langsci.wisc.edu/Assets/Pdfs/BookBlackbird.pdf" TargetMode="External"/><Relationship Id="rId18" Type="http://schemas.openxmlformats.org/officeDocument/2006/relationships/hyperlink" Target="https://treaties.okstate.edu/treaties/treaty-with-the-chippewa-1837-0482" TargetMode="External"/><Relationship Id="rId19" Type="http://schemas.openxmlformats.org/officeDocument/2006/relationships/hyperlink" Target="https://treaties.okstate.edu/treaties/treaty-with-the-chippewa-1837-0501" TargetMode="External"/><Relationship Id="rId20" Type="http://schemas.openxmlformats.org/officeDocument/2006/relationships/hyperlink" Target="https://treaties.okstate.edu/treaties/treaty-with-the-chippewa-of-saginaw-etc-1855-0733" TargetMode="External"/><Relationship Id="rId21" Type="http://schemas.openxmlformats.org/officeDocument/2006/relationships/hyperlink" Target="https://treaties.okstate.edu/treaties/treaty-with-the-chippewa-of-saginaw-swan-creek-and-black-river-1864-0868" TargetMode="External"/><Relationship Id="rId22" Type="http://schemas.openxmlformats.org/officeDocument/2006/relationships/hyperlink" Target="https://www.sagchip.org/ziibiwing/aboutus/pdf/4yrreportfinal.pdf" TargetMode="External"/><Relationship Id="rId23" Type="http://schemas.openxmlformats.org/officeDocument/2006/relationships/hyperlink" Target="https://www.sagchip.org/miibs/timeline.aspx" TargetMode="External"/><Relationship Id="rId24" Type="http://schemas.openxmlformats.org/officeDocument/2006/relationships/hyperlink" Target="https://www.sagchip.edu/our-history" TargetMode="External"/><Relationship Id="rId25" Type="http://schemas.openxmlformats.org/officeDocument/2006/relationships/hyperlink" Target="https://www.justice.gov/archives/opa/pr/us-court-approves-agreement-between-saginaw-chippewa-indian-tribe-united-states-state" TargetMode="External"/><Relationship Id="rId26" Type="http://schemas.openxmlformats.org/officeDocument/2006/relationships/hyperlink" Target="https://www.fws.gov/rivers/carp/carp/story/tittabawassee-river-saginaw-chippewa-indian-tribe-restoration" TargetMode="External"/><Relationship Id="rId27" Type="http://schemas.openxmlformats.org/officeDocument/2006/relationships/hyperlink" Target="https://semspub.epa.gov/work/05/914885.pdf"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Tittabawassee Ojibwe Communities History Culture and Timeline</dc:title>
  <dc:subject>Ojibwe communities of Michigan's Tittabawassee River and Saginaw Chippewa history</dc:subject>
  <dc:creator/>
  <cp:keywords>Tittabawassee, Saginaw Chippewa, Ojibwe, Anishinaabe, Michigan</cp:keywords>
  <dc:description>generated by python-docx</dc:description>
  <cp:lastModifiedBy/>
  <cp:revision>1</cp:revision>
  <dcterms:created xsi:type="dcterms:W3CDTF">2013-12-23T23:15:00Z</dcterms:created>
  <dcterms:modified xsi:type="dcterms:W3CDTF">2013-12-23T23:15:00Z</dcterms:modified>
  <cp:category/>
</cp:coreProperties>
</file>