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Tonto Apache</w:t>
      </w:r>
    </w:p>
    <w:p>
      <w:pPr>
        <w:pStyle w:val="Subtitle"/>
      </w:pPr>
      <w:r>
        <w:t>Culture History and Timeline</w:t>
      </w:r>
    </w:p>
    <w:p>
      <w:r>
        <w:t>The Tonto Apache are Native people of central Arizona whose history reaches beyond the boundaries of the modern Payson reservation. This study explains their homeland and daily life, follows the effects of warfare and forced removal and describes the rebuilding of community institutions. Traditional practices discussed here often belong to the wider Western Apache world; local customs vary among families and communities.</w:t>
      </w:r>
    </w:p>
    <w:p>
      <w:pPr>
        <w:pStyle w:val="Heading1"/>
      </w:pPr>
      <w:r>
        <w:t>Names and homeland</w:t>
      </w:r>
    </w:p>
    <w:p>
      <w:r>
        <w:t>Tonto Apache refers to historic communities within the wider Western Apache world. Scholars commonly distinguish Northern Tonto and Southern Tonto groups. These labels describe patterns of speech, kinship and territory rather than a single government that once ruled every Tonto community. [2]</w:t>
      </w:r>
    </w:p>
    <w:p>
      <w:r>
        <w:t>The modern Tonto Apache Tribe is a federally recognized nation beside Payson in central Arizona. Its community belongs to the Rim Country, where the Mogollon Rim rises above surrounding valleys. The tribe's school identifies the people as Dilzhe'e and stresses that their presence predates the town of Payson. [12]</w:t>
      </w:r>
    </w:p>
    <w:p>
      <w:r>
        <w:t>The Yavapai-Apache Nation in the Verde Valley is another tribal nation with Tonto Apache descendants. It brings together two distinct peoples. Its Apache members identify as Dil'zhe'e and speak an Athabaskan language; its Yavapai members have a language in the Yuman family. Shared history and close community ties do not erase this difference. [1]</w:t>
      </w:r>
    </w:p>
    <w:p>
      <w:pPr>
        <w:pStyle w:val="Heading1"/>
      </w:pPr>
      <w:r>
        <w:t>Food and seasonal life</w:t>
      </w:r>
    </w:p>
    <w:p>
      <w:r>
        <w:t>Western Apache families moved between elevations as foods became available. Gathering and hunting supplied most food. Acorns, pine nuts, grass seeds, mesquite pods and agave were among the resources used across the wider region. Some communities grew corn, beans and squash, though Northern Tonto groups practiced little farming. Seasonal travel linked familiar places and stored foods. It required close knowledge of plants, water and animal behavior. [2]</w:t>
      </w:r>
    </w:p>
    <w:p>
      <w:r>
        <w:t>A 2025 tree-ring study found evidence of frequent small fires linked to Western Apache burning in central and eastern Arizona. Fire helped manage useful resources. This regional finding does not establish identical practices for every Tonto community. [2]</w:t>
      </w:r>
    </w:p>
    <w:p>
      <w:pPr>
        <w:pStyle w:val="Heading1"/>
      </w:pPr>
      <w:r>
        <w:t>Families homes and clothing</w:t>
      </w:r>
    </w:p>
    <w:p>
      <w:r>
        <w:t>Extended families formed an important part of Western Apache social life. Kinship often followed the mother's line, a system called matrilineal descent. Relatives shared responsibilities that reached beyond one household. Keith Basso's historical study describes this family structure as continuing despite the disruption of older bands under reservation rule. His detailed fieldwork centered on Cibecue, so local Tonto customs should not be assumed to match every detail. [4]</w:t>
      </w:r>
    </w:p>
    <w:p>
      <w:r>
        <w:t>In the wider Apache region, a traditional dwelling was the wickiup, a dome built from bent poles and covered with grass or other material. Women commonly built and maintained it. These homes suited a life that involved seasonal movement. Hides supplied leather for clothing and containers. Modern Apache people use many kinds of housing and clothing; these older practices describe particular historical settings. [3]</w:t>
      </w:r>
    </w:p>
    <w:p>
      <w:pPr>
        <w:pStyle w:val="Heading1"/>
      </w:pPr>
      <w:r>
        <w:t>Basketry and other arts</w:t>
      </w:r>
    </w:p>
    <w:p>
      <w:r>
        <w:t>Surviving Tonto Apache objects show how craft joined useful design with knowledge of local materials. The Smithsonian holds a water vessel dated 1900-1919 and collected at Payson in 1919. It combines sumac, leather and pine pitch. The pitch coating helped the woven vessel hold water. The record lists Annie or Lela as possible former owners, preserving a small trace of individual lives behind the object. Their surnames and the maker's identity are not established by the catalog. [5]</w:t>
      </w:r>
    </w:p>
    <w:p>
      <w:r>
        <w:t>A second Smithsonian record documents a Tonto Apache burden basket collected near Payson in 1919. It uses willow and hide thong, joined through twining, stitching and tying. Such a carrying basket belonged to the practical equipment of daily work. The record names Jim, also called Sla-ki, as a possible former owner. Taken together, these objects provide specific evidence of Tonto Apache work beyond broad descriptions of Apache culture. [6]</w:t>
      </w:r>
    </w:p>
    <w:p>
      <w:r>
        <w:t>The University of Arizona's tribal profile also identifies beadwork and basketry as Tonto Apache arts. These arts remain part of the community's public identity. [11]</w:t>
      </w:r>
    </w:p>
    <w:p>
      <w:pPr>
        <w:pStyle w:val="Heading1"/>
      </w:pPr>
      <w:r>
        <w:t>Music religion and ceremony</w:t>
      </w:r>
    </w:p>
    <w:p>
      <w:r>
        <w:t>Singing carries cultural and religious knowledge in Apache communities. In an oral history recorded by the National Park Service, San Carlos Apache musician Chesley Wilson Sr. describes learning songs by hearing them. He also explains an Apache violin made from an agave stalk with one string. His account illustrates the wider Apache musical world rather than proving that every instrument or song was shared by all Tonto families. [3]</w:t>
      </w:r>
    </w:p>
    <w:p>
      <w:r>
        <w:t>The Sunrise Ceremony marks a girl's passage toward adulthood in Western Apache traditions. Basso's account explains its connection to Changing Woman, a sacred figure associated with renewal and long life. Singing, dancing, relatives and sponsors support the young woman. The ceremony also expresses concern for the wider community's health and well-being. Details vary by place, and Basso's Cibecue account should be read in its historical setting. [4]</w:t>
      </w:r>
    </w:p>
    <w:p>
      <w:r>
        <w:t>The Yavapai-Apache Nation published a family announcement for an Apache Sunrise Ceremony in 2022. This is direct evidence that the tradition continues within a living community. Individual religious lives vary, and some Apache people also practice Christianity. [3, 15]</w:t>
      </w:r>
    </w:p>
    <w:p>
      <w:pPr>
        <w:pStyle w:val="Heading1"/>
      </w:pPr>
      <w:r>
        <w:t>Conflict and forced removal</w:t>
      </w:r>
    </w:p>
    <w:p>
      <w:r>
        <w:t>Mexico's 1848 cession brought central Arizona under a United States claim. Gold discoveries near Prescott in 1863 accelerated settlement. Newcomers occupied water sources and hunting areas, increasing conflict with local Native communities. [8]</w:t>
      </w:r>
    </w:p>
    <w:p>
      <w:r>
        <w:t>The violence included attacks on civilians. In January 1864, King Woolsey's party killed more than 30 Native people at Bloody Tanks after drawing them to a meeting. The Rio Verde reservation was established in 1871. General George Crook's campaign of 1872-1873 then used mobile troops and Native scouts to pursue communities and destroy camps. Delshay was among the Tonto Apache leaders involved in resistance and surrender. [7]</w:t>
      </w:r>
    </w:p>
    <w:p>
      <w:r>
        <w:t>Older military labels need care. The army described the people attacked at Skeleton Cave in December 1872 as Tonto Apaches. Fort McDowell Yavapai identify the victims as their people. The dead included women and children. Treating all these victims as members of today's Tonto Apache Tribe would repeat the confusion in nineteenth-century records. [7]</w:t>
      </w:r>
    </w:p>
    <w:p>
      <w:r>
        <w:t>Families at Rio Verde developed irrigated farming, but federal officials removed them to San Carlos in 1875. The Yavapai-Apache Nation dates the departure to February 27 and reports more than 100 deaths on the winter march. Accounts differ on the distance traveled. [8]</w:t>
      </w:r>
    </w:p>
    <w:p>
      <w:pPr>
        <w:pStyle w:val="Heading1"/>
      </w:pPr>
      <w:r>
        <w:t>Return and federal recognition</w:t>
      </w:r>
    </w:p>
    <w:p>
      <w:r>
        <w:t>By the 1890s, families were returning toward the Verde Valley, Tonto Basin and Rim Country. They found many useful lands and water sources occupied by newcomers. Some worked on ranches, in mines or on construction projects. Returning home therefore did not restore their former access to the land. [8]</w:t>
      </w:r>
    </w:p>
    <w:p>
      <w:r>
        <w:t>The Payson community continued seeking a secure land base. Its school credits Chief Milton Campbell with leading the effort for reservation land and federal recognition in the 1970s. [12]</w:t>
      </w:r>
    </w:p>
    <w:p>
      <w:r>
        <w:t>On October 6, 1972, Congress enacted Public Law 92-470. It authorized selection of a village site of no more than 85 acres in Tonto National Forest and declared the selected land held in trust as a reservation. It also recognized the Payson Community of Yavapai-Apache Indians as a tribe under the Indian Reorganization Act. This older legal name refers to the Payson community that became the Tonto Apache Tribe. Recognition in 1972 marks a federal legal milestone in the history of an already existing people. [9]</w:t>
      </w:r>
    </w:p>
    <w:p>
      <w:pPr>
        <w:pStyle w:val="Heading1"/>
      </w:pPr>
      <w:r>
        <w:t>Government and community today</w:t>
      </w:r>
    </w:p>
    <w:p>
      <w:r>
        <w:t>The tribal constitution's election certificate records adoption on December 22, 1979. It establishes a council with five voting members: a chair, a vice chair and three council members. The constitution gives the tribal government responsibilities that include managing funds, regulating land use and protecting natural resources. It also provides elections and procedures for members to challenge officials. Tribal sovereignty means authority to govern tribal affairs within the legal framework that applies to Native nations. [10]</w:t>
      </w:r>
    </w:p>
    <w:p>
      <w:r>
        <w:t>The University of Arizona describes the Payson reservation as 85 acres, a very small base compared with the people's wider homeland. Its profile lists the tribally operated Mazatzal Hotel and Casino as an important local employer. It reports an estimated 102 residents on the reservation and associated trust land from the 2018-2022 American Community Survey. That dated residence estimate is not a current tribal enrollment total. [11]</w:t>
      </w:r>
    </w:p>
    <w:p>
      <w:r>
        <w:t>The Tonto Apache Community School was established in 2023 under tribal law. It serves primary and elementary education, with an early learning program also developed for younger children. The school describes tribal control over curriculum and cultural teaching as central to its purpose. It gives the community a direct role in deciding how its children learn. [12]</w:t>
      </w:r>
    </w:p>
    <w:p>
      <w:pPr>
        <w:pStyle w:val="Heading1"/>
      </w:pPr>
      <w:r>
        <w:t>Language teaching and remembrance</w:t>
      </w:r>
    </w:p>
    <w:p>
      <w:r>
        <w:t>Related cultural work continues in the Verde Valley. In April 2026, the Yavapai-Apache Nation's Apache Culture Department reported a class on grammar and use of the Dilzhe'e Apache Learners' Dictionary. Participants practiced pronunciation and learned how to use the dictionary. This belongs to the Yavapai-Apache Nation's language program, which is distinct from the Payson tribe's school. Both examples show communities taking part in cultural education today. [13]</w:t>
      </w:r>
    </w:p>
    <w:p>
      <w:r>
        <w:t>The Yavapai-Apache Nation also commemorates the removal and return through Exodus Day. Its 2026 program scheduled a blessing, a run from San Carlos to Camp Verde and a remembrance march. These activities connect younger people with ancestors and places that remain part of community identity. The history of removal continues to matter in how people remember home and teach their children. [14]</w:t>
      </w:r>
    </w:p>
    <w:p>
      <w:pPr>
        <w:pStyle w:val="Heading1"/>
      </w:pPr>
      <w:r>
        <w:t>Timeline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088"/>
        <w:gridCol w:w="7848"/>
      </w:tblGrid>
      <w:tr>
        <w:trPr>
          <w:tblHeader w:val="true"/>
          <w:cantSplit/>
        </w:trPr>
        <w:tc>
          <w:tcPr>
            <w:tcW w:type="dxa" w:w="2088"/>
            <w:shd w:fill="DCE6EF"/>
            <w:vAlign w:val="center"/>
            <w:tcMar>
              <w:top w:w="85" w:type="dxa"/>
              <w:bottom w:w="85" w:type="dxa"/>
              <w:left w:w="110" w:type="dxa"/>
              <w:right w:w="110" w:type="dxa"/>
            </w:tcMar>
          </w:tcPr>
          <w:p>
            <w:pPr>
              <w:keepNext w:val="0"/>
              <w:spacing w:after="0" w:line="254" w:lineRule="auto"/>
              <w:jc w:val="center"/>
            </w:pPr>
            <w:r>
              <w:rPr>
                <w:b/>
                <w:sz w:val="21"/>
              </w:rPr>
              <w:t>Date</w:t>
            </w:r>
          </w:p>
        </w:tc>
        <w:tc>
          <w:tcPr>
            <w:tcW w:type="dxa" w:w="7848"/>
            <w:shd w:fill="DCE6EF"/>
            <w:vAlign w:val="center"/>
            <w:tcMar>
              <w:top w:w="85" w:type="dxa"/>
              <w:bottom w:w="85" w:type="dxa"/>
              <w:left w:w="110" w:type="dxa"/>
              <w:right w:w="110" w:type="dxa"/>
            </w:tcMar>
          </w:tcPr>
          <w:p>
            <w:pPr>
              <w:keepNext w:val="0"/>
              <w:spacing w:after="0" w:line="254" w:lineRule="auto"/>
            </w:pPr>
            <w:r>
              <w:rPr>
                <w:b/>
                <w:sz w:val="21"/>
              </w:rPr>
              <w:t>Event</w:t>
            </w:r>
          </w:p>
        </w:tc>
      </w:tr>
      <w:tr>
        <w:trPr>
          <w:cantSplit/>
        </w:trPr>
        <w:tc>
          <w:tcPr>
            <w:tcW w:type="dxa" w:w="2088"/>
            <w:vAlign w:val="center"/>
            <w:tcMar>
              <w:top w:w="85" w:type="dxa"/>
              <w:bottom w:w="85" w:type="dxa"/>
              <w:left w:w="110" w:type="dxa"/>
              <w:right w:w="110" w:type="dxa"/>
            </w:tcMar>
          </w:tcPr>
          <w:p>
            <w:pPr>
              <w:keepNext w:val="0"/>
              <w:spacing w:after="0" w:line="254" w:lineRule="auto"/>
              <w:jc w:val="center"/>
            </w:pPr>
            <w:r>
              <w:rPr>
                <w:sz w:val="21"/>
              </w:rPr>
              <w:t>Before the 1860s</w:t>
            </w:r>
          </w:p>
        </w:tc>
        <w:tc>
          <w:tcPr>
            <w:tcW w:type="dxa" w:w="7848"/>
            <w:vAlign w:val="center"/>
            <w:tcMar>
              <w:top w:w="85" w:type="dxa"/>
              <w:bottom w:w="85" w:type="dxa"/>
              <w:left w:w="110" w:type="dxa"/>
              <w:right w:w="110" w:type="dxa"/>
            </w:tcMar>
          </w:tcPr>
          <w:p>
            <w:pPr>
              <w:keepNext w:val="0"/>
              <w:spacing w:after="0" w:line="254" w:lineRule="auto"/>
            </w:pPr>
            <w:r>
              <w:rPr>
                <w:sz w:val="21"/>
              </w:rPr>
              <w:t>Tonto Apache communities use central Arizona homelands before heavy American settlement. [7]</w:t>
            </w:r>
          </w:p>
        </w:tc>
      </w:tr>
      <w:tr>
        <w:trPr>
          <w:cantSplit/>
        </w:trPr>
        <w:tc>
          <w:tcPr>
            <w:tcW w:type="dxa" w:w="2088"/>
            <w:shd w:fill="F5F7F9"/>
            <w:vAlign w:val="center"/>
            <w:tcMar>
              <w:top w:w="85" w:type="dxa"/>
              <w:bottom w:w="85" w:type="dxa"/>
              <w:left w:w="110" w:type="dxa"/>
              <w:right w:w="110" w:type="dxa"/>
            </w:tcMar>
          </w:tcPr>
          <w:p>
            <w:pPr>
              <w:keepNext w:val="0"/>
              <w:spacing w:after="0" w:line="254" w:lineRule="auto"/>
              <w:jc w:val="center"/>
            </w:pPr>
            <w:r>
              <w:rPr>
                <w:sz w:val="21"/>
              </w:rPr>
              <w:t>1848</w:t>
            </w:r>
          </w:p>
        </w:tc>
        <w:tc>
          <w:tcPr>
            <w:tcW w:type="dxa" w:w="7848"/>
            <w:shd w:fill="F5F7F9"/>
            <w:vAlign w:val="center"/>
            <w:tcMar>
              <w:top w:w="85" w:type="dxa"/>
              <w:bottom w:w="85" w:type="dxa"/>
              <w:left w:w="110" w:type="dxa"/>
              <w:right w:w="110" w:type="dxa"/>
            </w:tcMar>
          </w:tcPr>
          <w:p>
            <w:pPr>
              <w:keepNext w:val="0"/>
              <w:spacing w:after="0" w:line="254" w:lineRule="auto"/>
            </w:pPr>
            <w:r>
              <w:rPr>
                <w:sz w:val="21"/>
              </w:rPr>
              <w:t>The United States acquires Mexico's claim to central Arizona. [8]</w:t>
            </w:r>
          </w:p>
        </w:tc>
      </w:tr>
      <w:tr>
        <w:trPr>
          <w:cantSplit/>
        </w:trPr>
        <w:tc>
          <w:tcPr>
            <w:tcW w:type="dxa" w:w="2088"/>
            <w:vAlign w:val="center"/>
            <w:tcMar>
              <w:top w:w="85" w:type="dxa"/>
              <w:bottom w:w="85" w:type="dxa"/>
              <w:left w:w="110" w:type="dxa"/>
              <w:right w:w="110" w:type="dxa"/>
            </w:tcMar>
          </w:tcPr>
          <w:p>
            <w:pPr>
              <w:keepNext w:val="0"/>
              <w:spacing w:after="0" w:line="254" w:lineRule="auto"/>
              <w:jc w:val="center"/>
            </w:pPr>
            <w:r>
              <w:rPr>
                <w:sz w:val="21"/>
              </w:rPr>
              <w:t>1863</w:t>
            </w:r>
          </w:p>
        </w:tc>
        <w:tc>
          <w:tcPr>
            <w:tcW w:type="dxa" w:w="7848"/>
            <w:vAlign w:val="center"/>
            <w:tcMar>
              <w:top w:w="85" w:type="dxa"/>
              <w:bottom w:w="85" w:type="dxa"/>
              <w:left w:w="110" w:type="dxa"/>
              <w:right w:w="110" w:type="dxa"/>
            </w:tcMar>
          </w:tcPr>
          <w:p>
            <w:pPr>
              <w:keepNext w:val="0"/>
              <w:spacing w:after="0" w:line="254" w:lineRule="auto"/>
            </w:pPr>
            <w:r>
              <w:rPr>
                <w:sz w:val="21"/>
              </w:rPr>
              <w:t>Gold discoveries near Prescott increase intrusion into Native lands. [8]</w:t>
            </w:r>
          </w:p>
        </w:tc>
      </w:tr>
      <w:tr>
        <w:trPr>
          <w:cantSplit/>
        </w:trPr>
        <w:tc>
          <w:tcPr>
            <w:tcW w:type="dxa" w:w="2088"/>
            <w:shd w:fill="F5F7F9"/>
            <w:vAlign w:val="center"/>
            <w:tcMar>
              <w:top w:w="85" w:type="dxa"/>
              <w:bottom w:w="85" w:type="dxa"/>
              <w:left w:w="110" w:type="dxa"/>
              <w:right w:w="110" w:type="dxa"/>
            </w:tcMar>
          </w:tcPr>
          <w:p>
            <w:pPr>
              <w:keepNext w:val="0"/>
              <w:spacing w:after="0" w:line="254" w:lineRule="auto"/>
              <w:jc w:val="center"/>
            </w:pPr>
            <w:r>
              <w:rPr>
                <w:sz w:val="21"/>
              </w:rPr>
              <w:t>January 1864</w:t>
            </w:r>
          </w:p>
        </w:tc>
        <w:tc>
          <w:tcPr>
            <w:tcW w:type="dxa" w:w="7848"/>
            <w:shd w:fill="F5F7F9"/>
            <w:vAlign w:val="center"/>
            <w:tcMar>
              <w:top w:w="85" w:type="dxa"/>
              <w:bottom w:w="85" w:type="dxa"/>
              <w:left w:w="110" w:type="dxa"/>
              <w:right w:w="110" w:type="dxa"/>
            </w:tcMar>
          </w:tcPr>
          <w:p>
            <w:pPr>
              <w:keepNext w:val="0"/>
              <w:spacing w:after="0" w:line="254" w:lineRule="auto"/>
            </w:pPr>
            <w:r>
              <w:rPr>
                <w:sz w:val="21"/>
              </w:rPr>
              <w:t>Woolsey's party kills Native people at Bloody Tanks. [7]</w:t>
            </w:r>
          </w:p>
        </w:tc>
      </w:tr>
      <w:tr>
        <w:trPr>
          <w:cantSplit/>
        </w:trPr>
        <w:tc>
          <w:tcPr>
            <w:tcW w:type="dxa" w:w="2088"/>
            <w:vAlign w:val="center"/>
            <w:tcMar>
              <w:top w:w="85" w:type="dxa"/>
              <w:bottom w:w="85" w:type="dxa"/>
              <w:left w:w="110" w:type="dxa"/>
              <w:right w:w="110" w:type="dxa"/>
            </w:tcMar>
          </w:tcPr>
          <w:p>
            <w:pPr>
              <w:keepNext w:val="0"/>
              <w:spacing w:after="0" w:line="254" w:lineRule="auto"/>
              <w:jc w:val="center"/>
            </w:pPr>
            <w:r>
              <w:rPr>
                <w:sz w:val="21"/>
              </w:rPr>
              <w:t>1871</w:t>
            </w:r>
          </w:p>
        </w:tc>
        <w:tc>
          <w:tcPr>
            <w:tcW w:type="dxa" w:w="7848"/>
            <w:vAlign w:val="center"/>
            <w:tcMar>
              <w:top w:w="85" w:type="dxa"/>
              <w:bottom w:w="85" w:type="dxa"/>
              <w:left w:w="110" w:type="dxa"/>
              <w:right w:w="110" w:type="dxa"/>
            </w:tcMar>
          </w:tcPr>
          <w:p>
            <w:pPr>
              <w:keepNext w:val="0"/>
              <w:spacing w:after="0" w:line="254" w:lineRule="auto"/>
            </w:pPr>
            <w:r>
              <w:rPr>
                <w:sz w:val="21"/>
              </w:rPr>
              <w:t>The United States establishes the Rio Verde reservation. [7]</w:t>
            </w:r>
          </w:p>
        </w:tc>
      </w:tr>
      <w:tr>
        <w:trPr>
          <w:cantSplit/>
        </w:trPr>
        <w:tc>
          <w:tcPr>
            <w:tcW w:type="dxa" w:w="2088"/>
            <w:shd w:fill="F5F7F9"/>
            <w:vAlign w:val="center"/>
            <w:tcMar>
              <w:top w:w="85" w:type="dxa"/>
              <w:bottom w:w="85" w:type="dxa"/>
              <w:left w:w="110" w:type="dxa"/>
              <w:right w:w="110" w:type="dxa"/>
            </w:tcMar>
          </w:tcPr>
          <w:p>
            <w:pPr>
              <w:keepNext w:val="0"/>
              <w:spacing w:after="0" w:line="254" w:lineRule="auto"/>
              <w:jc w:val="center"/>
            </w:pPr>
            <w:r>
              <w:rPr>
                <w:sz w:val="21"/>
              </w:rPr>
              <w:t>1872 to 1873</w:t>
            </w:r>
          </w:p>
        </w:tc>
        <w:tc>
          <w:tcPr>
            <w:tcW w:type="dxa" w:w="7848"/>
            <w:shd w:fill="F5F7F9"/>
            <w:vAlign w:val="center"/>
            <w:tcMar>
              <w:top w:w="85" w:type="dxa"/>
              <w:bottom w:w="85" w:type="dxa"/>
              <w:left w:w="110" w:type="dxa"/>
              <w:right w:w="110" w:type="dxa"/>
            </w:tcMar>
          </w:tcPr>
          <w:p>
            <w:pPr>
              <w:keepNext w:val="0"/>
              <w:spacing w:after="0" w:line="254" w:lineRule="auto"/>
            </w:pPr>
            <w:r>
              <w:rPr>
                <w:sz w:val="21"/>
              </w:rPr>
              <w:t>Crook's campaign forces many local communities to surrender. [7]</w:t>
            </w:r>
          </w:p>
        </w:tc>
      </w:tr>
      <w:tr>
        <w:trPr>
          <w:cantSplit/>
        </w:trPr>
        <w:tc>
          <w:tcPr>
            <w:tcW w:type="dxa" w:w="2088"/>
            <w:vAlign w:val="center"/>
            <w:tcMar>
              <w:top w:w="85" w:type="dxa"/>
              <w:bottom w:w="85" w:type="dxa"/>
              <w:left w:w="110" w:type="dxa"/>
              <w:right w:w="110" w:type="dxa"/>
            </w:tcMar>
          </w:tcPr>
          <w:p>
            <w:pPr>
              <w:keepNext w:val="0"/>
              <w:spacing w:after="0" w:line="254" w:lineRule="auto"/>
              <w:jc w:val="center"/>
            </w:pPr>
            <w:r>
              <w:rPr>
                <w:sz w:val="21"/>
              </w:rPr>
              <w:t>1875</w:t>
            </w:r>
          </w:p>
        </w:tc>
        <w:tc>
          <w:tcPr>
            <w:tcW w:type="dxa" w:w="7848"/>
            <w:vAlign w:val="center"/>
            <w:tcMar>
              <w:top w:w="85" w:type="dxa"/>
              <w:bottom w:w="85" w:type="dxa"/>
              <w:left w:w="110" w:type="dxa"/>
              <w:right w:w="110" w:type="dxa"/>
            </w:tcMar>
          </w:tcPr>
          <w:p>
            <w:pPr>
              <w:keepNext w:val="0"/>
              <w:spacing w:after="0" w:line="254" w:lineRule="auto"/>
            </w:pPr>
            <w:r>
              <w:rPr>
                <w:sz w:val="21"/>
              </w:rPr>
              <w:t>Officials forcibly remove Yavapai and Apache families to San Carlos. [8]</w:t>
            </w:r>
          </w:p>
        </w:tc>
      </w:tr>
      <w:tr>
        <w:trPr>
          <w:cantSplit/>
        </w:trPr>
        <w:tc>
          <w:tcPr>
            <w:tcW w:type="dxa" w:w="2088"/>
            <w:shd w:fill="F5F7F9"/>
            <w:vAlign w:val="center"/>
            <w:tcMar>
              <w:top w:w="85" w:type="dxa"/>
              <w:bottom w:w="85" w:type="dxa"/>
              <w:left w:w="110" w:type="dxa"/>
              <w:right w:w="110" w:type="dxa"/>
            </w:tcMar>
          </w:tcPr>
          <w:p>
            <w:pPr>
              <w:keepNext w:val="0"/>
              <w:spacing w:after="0" w:line="254" w:lineRule="auto"/>
              <w:jc w:val="center"/>
            </w:pPr>
            <w:r>
              <w:rPr>
                <w:sz w:val="21"/>
              </w:rPr>
              <w:t>1890s onward</w:t>
            </w:r>
          </w:p>
        </w:tc>
        <w:tc>
          <w:tcPr>
            <w:tcW w:type="dxa" w:w="7848"/>
            <w:shd w:fill="F5F7F9"/>
            <w:vAlign w:val="center"/>
            <w:tcMar>
              <w:top w:w="85" w:type="dxa"/>
              <w:bottom w:w="85" w:type="dxa"/>
              <w:left w:w="110" w:type="dxa"/>
              <w:right w:w="110" w:type="dxa"/>
            </w:tcMar>
          </w:tcPr>
          <w:p>
            <w:pPr>
              <w:keepNext w:val="0"/>
              <w:spacing w:after="0" w:line="254" w:lineRule="auto"/>
            </w:pPr>
            <w:r>
              <w:rPr>
                <w:sz w:val="21"/>
              </w:rPr>
              <w:t>Families return toward the Verde Valley and Rim Country. [8]</w:t>
            </w:r>
          </w:p>
        </w:tc>
      </w:tr>
      <w:tr>
        <w:trPr>
          <w:cantSplit/>
        </w:trPr>
        <w:tc>
          <w:tcPr>
            <w:tcW w:type="dxa" w:w="2088"/>
            <w:vAlign w:val="center"/>
            <w:tcMar>
              <w:top w:w="85" w:type="dxa"/>
              <w:bottom w:w="85" w:type="dxa"/>
              <w:left w:w="110" w:type="dxa"/>
              <w:right w:w="110" w:type="dxa"/>
            </w:tcMar>
          </w:tcPr>
          <w:p>
            <w:pPr>
              <w:keepNext w:val="0"/>
              <w:spacing w:after="0" w:line="254" w:lineRule="auto"/>
              <w:jc w:val="center"/>
            </w:pPr>
            <w:r>
              <w:rPr>
                <w:sz w:val="21"/>
              </w:rPr>
              <w:t>1919</w:t>
            </w:r>
          </w:p>
        </w:tc>
        <w:tc>
          <w:tcPr>
            <w:tcW w:type="dxa" w:w="7848"/>
            <w:vAlign w:val="center"/>
            <w:tcMar>
              <w:top w:w="85" w:type="dxa"/>
              <w:bottom w:w="85" w:type="dxa"/>
              <w:left w:w="110" w:type="dxa"/>
              <w:right w:w="110" w:type="dxa"/>
            </w:tcMar>
          </w:tcPr>
          <w:p>
            <w:pPr>
              <w:keepNext w:val="0"/>
              <w:spacing w:after="0" w:line="254" w:lineRule="auto"/>
            </w:pPr>
            <w:r>
              <w:rPr>
                <w:sz w:val="21"/>
              </w:rPr>
              <w:t>Edward H. Davis collects Tonto Apache baskets at Payson. [5, 6]</w:t>
            </w:r>
          </w:p>
        </w:tc>
      </w:tr>
      <w:tr>
        <w:trPr>
          <w:cantSplit/>
        </w:trPr>
        <w:tc>
          <w:tcPr>
            <w:tcW w:type="dxa" w:w="2088"/>
            <w:shd w:fill="F5F7F9"/>
            <w:vAlign w:val="center"/>
            <w:tcMar>
              <w:top w:w="85" w:type="dxa"/>
              <w:bottom w:w="85" w:type="dxa"/>
              <w:left w:w="110" w:type="dxa"/>
              <w:right w:w="110" w:type="dxa"/>
            </w:tcMar>
          </w:tcPr>
          <w:p>
            <w:pPr>
              <w:keepNext w:val="0"/>
              <w:spacing w:after="0" w:line="254" w:lineRule="auto"/>
              <w:jc w:val="center"/>
            </w:pPr>
            <w:r>
              <w:rPr>
                <w:sz w:val="21"/>
              </w:rPr>
              <w:t>October 6 1972</w:t>
            </w:r>
          </w:p>
        </w:tc>
        <w:tc>
          <w:tcPr>
            <w:tcW w:type="dxa" w:w="7848"/>
            <w:shd w:fill="F5F7F9"/>
            <w:vAlign w:val="center"/>
            <w:tcMar>
              <w:top w:w="85" w:type="dxa"/>
              <w:bottom w:w="85" w:type="dxa"/>
              <w:left w:w="110" w:type="dxa"/>
              <w:right w:w="110" w:type="dxa"/>
            </w:tcMar>
          </w:tcPr>
          <w:p>
            <w:pPr>
              <w:keepNext w:val="0"/>
              <w:spacing w:after="0" w:line="254" w:lineRule="auto"/>
            </w:pPr>
            <w:r>
              <w:rPr>
                <w:sz w:val="21"/>
              </w:rPr>
              <w:t>Congress recognizes the Payson community and provides for reservation land. [9]</w:t>
            </w:r>
          </w:p>
        </w:tc>
      </w:tr>
      <w:tr>
        <w:trPr>
          <w:cantSplit/>
        </w:trPr>
        <w:tc>
          <w:tcPr>
            <w:tcW w:type="dxa" w:w="2088"/>
            <w:vAlign w:val="center"/>
            <w:tcMar>
              <w:top w:w="85" w:type="dxa"/>
              <w:bottom w:w="85" w:type="dxa"/>
              <w:left w:w="110" w:type="dxa"/>
              <w:right w:w="110" w:type="dxa"/>
            </w:tcMar>
          </w:tcPr>
          <w:p>
            <w:pPr>
              <w:keepNext w:val="0"/>
              <w:spacing w:after="0" w:line="254" w:lineRule="auto"/>
              <w:jc w:val="center"/>
            </w:pPr>
            <w:r>
              <w:rPr>
                <w:sz w:val="21"/>
              </w:rPr>
              <w:t>December 22 1979</w:t>
            </w:r>
          </w:p>
        </w:tc>
        <w:tc>
          <w:tcPr>
            <w:tcW w:type="dxa" w:w="7848"/>
            <w:vAlign w:val="center"/>
            <w:tcMar>
              <w:top w:w="85" w:type="dxa"/>
              <w:bottom w:w="85" w:type="dxa"/>
              <w:left w:w="110" w:type="dxa"/>
              <w:right w:w="110" w:type="dxa"/>
            </w:tcMar>
          </w:tcPr>
          <w:p>
            <w:pPr>
              <w:keepNext w:val="0"/>
              <w:spacing w:after="0" w:line="254" w:lineRule="auto"/>
            </w:pPr>
            <w:r>
              <w:rPr>
                <w:sz w:val="21"/>
              </w:rPr>
              <w:t>Voters adopt the Tonto Apache tribal constitution. [10]</w:t>
            </w:r>
          </w:p>
        </w:tc>
      </w:tr>
      <w:tr>
        <w:trPr>
          <w:cantSplit/>
        </w:trPr>
        <w:tc>
          <w:tcPr>
            <w:tcW w:type="dxa" w:w="2088"/>
            <w:shd w:fill="F5F7F9"/>
            <w:vAlign w:val="center"/>
            <w:tcMar>
              <w:top w:w="85" w:type="dxa"/>
              <w:bottom w:w="85" w:type="dxa"/>
              <w:left w:w="110" w:type="dxa"/>
              <w:right w:w="110" w:type="dxa"/>
            </w:tcMar>
          </w:tcPr>
          <w:p>
            <w:pPr>
              <w:keepNext w:val="0"/>
              <w:spacing w:after="0" w:line="254" w:lineRule="auto"/>
              <w:jc w:val="center"/>
            </w:pPr>
            <w:r>
              <w:rPr>
                <w:sz w:val="21"/>
              </w:rPr>
              <w:t>2023</w:t>
            </w:r>
          </w:p>
        </w:tc>
        <w:tc>
          <w:tcPr>
            <w:tcW w:type="dxa" w:w="7848"/>
            <w:shd w:fill="F5F7F9"/>
            <w:vAlign w:val="center"/>
            <w:tcMar>
              <w:top w:w="85" w:type="dxa"/>
              <w:bottom w:w="85" w:type="dxa"/>
              <w:left w:w="110" w:type="dxa"/>
              <w:right w:w="110" w:type="dxa"/>
            </w:tcMar>
          </w:tcPr>
          <w:p>
            <w:pPr>
              <w:keepNext w:val="0"/>
              <w:spacing w:after="0" w:line="254" w:lineRule="auto"/>
            </w:pPr>
            <w:r>
              <w:rPr>
                <w:sz w:val="21"/>
              </w:rPr>
              <w:t>The Tonto Apache Community School is established. [12]</w:t>
            </w:r>
          </w:p>
        </w:tc>
      </w:tr>
      <w:tr>
        <w:trPr>
          <w:cantSplit/>
        </w:trPr>
        <w:tc>
          <w:tcPr>
            <w:tcW w:type="dxa" w:w="2088"/>
            <w:vAlign w:val="center"/>
            <w:tcMar>
              <w:top w:w="85" w:type="dxa"/>
              <w:bottom w:w="85" w:type="dxa"/>
              <w:left w:w="110" w:type="dxa"/>
              <w:right w:w="110" w:type="dxa"/>
            </w:tcMar>
          </w:tcPr>
          <w:p>
            <w:pPr>
              <w:keepNext w:val="0"/>
              <w:spacing w:after="0" w:line="254" w:lineRule="auto"/>
              <w:jc w:val="center"/>
            </w:pPr>
            <w:r>
              <w:rPr>
                <w:sz w:val="21"/>
              </w:rPr>
              <w:t>2026</w:t>
            </w:r>
          </w:p>
        </w:tc>
        <w:tc>
          <w:tcPr>
            <w:tcW w:type="dxa" w:w="7848"/>
            <w:vAlign w:val="center"/>
            <w:tcMar>
              <w:top w:w="85" w:type="dxa"/>
              <w:bottom w:w="85" w:type="dxa"/>
              <w:left w:w="110" w:type="dxa"/>
              <w:right w:w="110" w:type="dxa"/>
            </w:tcMar>
          </w:tcPr>
          <w:p>
            <w:pPr>
              <w:keepNext w:val="0"/>
              <w:spacing w:after="0" w:line="254" w:lineRule="auto"/>
            </w:pPr>
            <w:r>
              <w:rPr>
                <w:sz w:val="21"/>
              </w:rPr>
              <w:t>Yavapai-Apache language teaching and Exodus Day programs continue. [13, 14]</w:t>
            </w:r>
          </w:p>
        </w:tc>
      </w:tr>
    </w:tbl>
    <w:p>
      <w:pPr>
        <w:pStyle w:val="Heading1"/>
        <w:pageBreakBefore/>
      </w:pPr>
      <w:r>
        <w:t>Sources and working URLs</w:t>
      </w:r>
    </w:p>
    <w:p>
      <w:pPr>
        <w:spacing w:after="240"/>
      </w:pPr>
      <w:r>
        <w:t>Numbers in brackets identify the sources for each passage. Tribal accounts, original laws and museum records supply primary evidence. The scholarly studies explain broader Western Apache practices and their historical setting.</w:t>
      </w:r>
    </w:p>
    <w:p>
      <w:pPr>
        <w:keepNext/>
        <w:spacing w:after="60"/>
      </w:pPr>
      <w:r>
        <w:rPr>
          <w:b/>
        </w:rPr>
        <w:t xml:space="preserve">[1] Yavapai Apache Nation. </w:t>
      </w:r>
      <w:r>
        <w:t>Yavapai-Apache Nation. Tribal explanation of its two peoples and their languages.</w:t>
      </w:r>
    </w:p>
    <w:p>
      <w:pPr>
        <w:keepLines/>
        <w:spacing w:after="240" w:line="240" w:lineRule="auto"/>
      </w:pPr>
      <w:hyperlink r:id="rId10">
        <w:r>
          <w:rPr>
            <w:color w:val="17446B"/>
            <w:sz w:val="20"/>
          </w:rPr>
          <w:t>https://yavapai-apache.org/yavapai-apache-nation/</w:t>
        </w:r>
      </w:hyperlink>
    </w:p>
    <w:p>
      <w:pPr>
        <w:keepNext/>
        <w:spacing w:after="60"/>
      </w:pPr>
      <w:r>
        <w:rPr>
          <w:b/>
        </w:rPr>
        <w:t xml:space="preserve">[2] Western Apache land use and fire. </w:t>
      </w:r>
      <w:r>
        <w:t>Roos, C. I., et al. (2025). Tree rings reveal persistent Western Apache (Ndee) fire stewardship and niche construction in the American Southwest. Proceedings of the National Academy of Sciences, 122(32), e2509169122. Peer-reviewed research on the wider Western Apache region.</w:t>
      </w:r>
    </w:p>
    <w:p>
      <w:pPr>
        <w:keepLines/>
        <w:spacing w:after="240" w:line="240" w:lineRule="auto"/>
      </w:pPr>
      <w:hyperlink r:id="rId11">
        <w:r>
          <w:rPr>
            <w:color w:val="17446B"/>
            <w:sz w:val="20"/>
          </w:rPr>
          <w:t>https://www.pnas.org/doi/10.1073/pnas.2509169122</w:t>
        </w:r>
      </w:hyperlink>
    </w:p>
    <w:p>
      <w:pPr>
        <w:keepNext/>
        <w:spacing w:after="60"/>
      </w:pPr>
      <w:r>
        <w:rPr>
          <w:b/>
        </w:rPr>
        <w:t xml:space="preserve">[3] Homes clothing and music. </w:t>
      </w:r>
      <w:r>
        <w:t>National Park Service. Native Peoples of the Sonoran Desert: The Nde. Includes an oral history with San Carlos Apache musician Chesley Wilson Sr. Broader Apache context.</w:t>
      </w:r>
    </w:p>
    <w:p>
      <w:pPr>
        <w:keepLines/>
        <w:spacing w:after="240" w:line="240" w:lineRule="auto"/>
      </w:pPr>
      <w:hyperlink r:id="rId12">
        <w:r>
          <w:rPr>
            <w:color w:val="17446B"/>
            <w:sz w:val="20"/>
          </w:rPr>
          <w:t>https://www.nps.gov/articles/apache.htm</w:t>
        </w:r>
      </w:hyperlink>
    </w:p>
    <w:p>
      <w:pPr>
        <w:keepNext/>
        <w:spacing w:after="60"/>
      </w:pPr>
      <w:r>
        <w:rPr>
          <w:b/>
        </w:rPr>
        <w:t xml:space="preserve">[4] Family and ceremony. </w:t>
      </w:r>
      <w:r>
        <w:t>Basso, K. H. (1966). The Gift of Changing Woman. Bureau of American Ethnology Bulletin 196, Anthropological Papers 76, pp. 113-173. Smithsonian Institution. Historical ethnography centered on Cibecue.</w:t>
      </w:r>
    </w:p>
    <w:p>
      <w:pPr>
        <w:keepLines/>
        <w:spacing w:after="240" w:line="240" w:lineRule="auto"/>
      </w:pPr>
      <w:hyperlink r:id="rId13">
        <w:r>
          <w:rPr>
            <w:color w:val="17446B"/>
            <w:sz w:val="20"/>
          </w:rPr>
          <w:t>https://repository.si.edu/bitstreams/8c2718e9-e170-4b4d-9cc3-1f7aa5835feb/download</w:t>
        </w:r>
      </w:hyperlink>
    </w:p>
    <w:p>
      <w:pPr>
        <w:keepNext/>
        <w:spacing w:after="60"/>
      </w:pPr>
      <w:r>
        <w:rPr>
          <w:b/>
        </w:rPr>
        <w:t xml:space="preserve">[5] Tonto Apache water vessel. </w:t>
      </w:r>
      <w:r>
        <w:t>National Museum of the American Indian. Basket jar/water vessel, catalog 9/5589. Collection record for a Tonto Apache object from Payson.</w:t>
      </w:r>
    </w:p>
    <w:p>
      <w:pPr>
        <w:keepLines/>
        <w:spacing w:after="240" w:line="240" w:lineRule="auto"/>
      </w:pPr>
      <w:hyperlink r:id="rId14">
        <w:r>
          <w:rPr>
            <w:color w:val="17446B"/>
            <w:sz w:val="20"/>
          </w:rPr>
          <w:t>https://americanindian.si.edu/collections-search/object/NMAI_102624</w:t>
        </w:r>
      </w:hyperlink>
    </w:p>
    <w:p>
      <w:pPr>
        <w:keepNext/>
        <w:spacing w:after="60"/>
      </w:pPr>
      <w:r>
        <w:rPr>
          <w:b/>
        </w:rPr>
        <w:t xml:space="preserve">[6] Tonto Apache burden basket. </w:t>
      </w:r>
      <w:r>
        <w:t>National Museum of the American Indian. Burden basket, catalog 9/5586. Collection record for a Tonto Apache object from Payson.</w:t>
      </w:r>
    </w:p>
    <w:p>
      <w:pPr>
        <w:keepLines/>
        <w:spacing w:after="240" w:line="240" w:lineRule="auto"/>
      </w:pPr>
      <w:hyperlink r:id="rId15">
        <w:r>
          <w:rPr>
            <w:color w:val="17446B"/>
            <w:sz w:val="20"/>
          </w:rPr>
          <w:t>https://americanindian.si.edu/collections-search/object/NMAI_102621</w:t>
        </w:r>
      </w:hyperlink>
    </w:p>
    <w:p>
      <w:pPr>
        <w:keepNext/>
        <w:spacing w:after="60"/>
      </w:pPr>
      <w:r>
        <w:rPr>
          <w:b/>
        </w:rPr>
        <w:t xml:space="preserve">[7] Warfare and historical naming. </w:t>
      </w:r>
      <w:r>
        <w:t>National Park Service. (2020). Yavapai and Tonto Apaches. Historical account of conflict, removal and changing community boundaries.</w:t>
      </w:r>
    </w:p>
    <w:p>
      <w:pPr>
        <w:keepLines/>
        <w:spacing w:after="240" w:line="240" w:lineRule="auto"/>
      </w:pPr>
      <w:hyperlink r:id="rId16">
        <w:r>
          <w:rPr>
            <w:color w:val="17446B"/>
            <w:sz w:val="20"/>
          </w:rPr>
          <w:t>https://www.nps.gov/tont/learn/historyculture/yavapai_and_apache.htm</w:t>
        </w:r>
      </w:hyperlink>
    </w:p>
    <w:p>
      <w:pPr>
        <w:keepNext/>
        <w:spacing w:after="60"/>
      </w:pPr>
      <w:r>
        <w:rPr>
          <w:b/>
        </w:rPr>
        <w:t xml:space="preserve">[8] Land loss removal and return. </w:t>
      </w:r>
      <w:r>
        <w:t>Yavapai-Apache Nation. (2024). A Brief History of the Yavapai-Apache Nation and Its Lands. Tribal historical account, especially pp. 4-12.</w:t>
      </w:r>
    </w:p>
    <w:p>
      <w:pPr>
        <w:keepLines/>
        <w:spacing w:after="240" w:line="240" w:lineRule="auto"/>
      </w:pPr>
      <w:hyperlink r:id="rId17">
        <w:r>
          <w:rPr>
            <w:color w:val="17446B"/>
            <w:sz w:val="20"/>
          </w:rPr>
          <w:t>https://yavapai-apache.org/wp-content/uploads/2024/01/2024_01_12-Brief-History-of-YAN.pdf</w:t>
        </w:r>
      </w:hyperlink>
    </w:p>
    <w:p>
      <w:pPr>
        <w:keepNext/>
        <w:pageBreakBefore/>
        <w:spacing w:after="60"/>
      </w:pPr>
      <w:r>
        <w:rPr>
          <w:b/>
        </w:rPr>
        <w:t xml:space="preserve">[9] Congressional recognition. </w:t>
      </w:r>
      <w:r>
        <w:t>United States Congress. (1972). Public Law 92-470, October 6, 1972, 86 Stat. 783. Original federal statute; the relevant act occupies the lower part of the page.</w:t>
      </w:r>
    </w:p>
    <w:p>
      <w:pPr>
        <w:keepLines/>
        <w:spacing w:after="240" w:line="240" w:lineRule="auto"/>
      </w:pPr>
      <w:hyperlink r:id="rId18">
        <w:r>
          <w:rPr>
            <w:color w:val="17446B"/>
            <w:sz w:val="20"/>
          </w:rPr>
          <w:t>https://www.govinfo.gov/content/pkg/STATUTE-86/pdf/STATUTE-86-Pg783.pdf</w:t>
        </w:r>
      </w:hyperlink>
    </w:p>
    <w:p>
      <w:pPr>
        <w:keepNext/>
        <w:spacing w:after="60"/>
      </w:pPr>
      <w:r>
        <w:rPr>
          <w:b/>
        </w:rPr>
        <w:t xml:space="preserve">[10] Tribal government. </w:t>
      </w:r>
      <w:r>
        <w:t>Tonto Apache Tribe. Constitution of the Tonto Apache Tribe. Adoption certificate dated December 22, 1979; see Articles IV and VII. Copy hosted by the University of Arizona.</w:t>
      </w:r>
    </w:p>
    <w:p>
      <w:pPr>
        <w:keepLines/>
        <w:spacing w:after="240" w:line="240" w:lineRule="auto"/>
      </w:pPr>
      <w:hyperlink r:id="rId19">
        <w:r>
          <w:rPr>
            <w:color w:val="17446B"/>
            <w:sz w:val="20"/>
          </w:rPr>
          <w:t>https://naair.arizona.edu/sites/default/files/constitution_tonto_apache_0.pdf</w:t>
        </w:r>
      </w:hyperlink>
    </w:p>
    <w:p>
      <w:pPr>
        <w:keepNext/>
        <w:spacing w:after="60"/>
      </w:pPr>
      <w:r>
        <w:rPr>
          <w:b/>
        </w:rPr>
        <w:t xml:space="preserve">[11] Payson community profile. </w:t>
      </w:r>
      <w:r>
        <w:t>University of Arizona, Native American Advancement, Initiatives, and Research. Tonto Apache Tribe of Arizona. Community profile and dated census estimate.</w:t>
      </w:r>
    </w:p>
    <w:p>
      <w:pPr>
        <w:keepLines/>
        <w:spacing w:after="240" w:line="240" w:lineRule="auto"/>
      </w:pPr>
      <w:hyperlink r:id="rId20">
        <w:r>
          <w:rPr>
            <w:color w:val="17446B"/>
            <w:sz w:val="20"/>
          </w:rPr>
          <w:t>https://naair.arizona.edu/tonto-apache-tribe</w:t>
        </w:r>
      </w:hyperlink>
    </w:p>
    <w:p>
      <w:pPr>
        <w:keepNext/>
        <w:spacing w:after="60"/>
      </w:pPr>
      <w:r>
        <w:rPr>
          <w:b/>
        </w:rPr>
        <w:t xml:space="preserve">[12] Tribal education. </w:t>
      </w:r>
      <w:r>
        <w:t>Tonto Apache Community School. About Us. Tribal school account of Milton Campbell, recognition and the school established in 2023.</w:t>
      </w:r>
    </w:p>
    <w:p>
      <w:pPr>
        <w:keepLines/>
        <w:spacing w:after="240" w:line="240" w:lineRule="auto"/>
      </w:pPr>
      <w:hyperlink r:id="rId21">
        <w:r>
          <w:rPr>
            <w:color w:val="17446B"/>
            <w:sz w:val="20"/>
          </w:rPr>
          <w:t>https://www.tontoapacheschools.org/about-1</w:t>
        </w:r>
      </w:hyperlink>
    </w:p>
    <w:p>
      <w:pPr>
        <w:keepNext/>
        <w:spacing w:after="60"/>
      </w:pPr>
      <w:r>
        <w:rPr>
          <w:b/>
        </w:rPr>
        <w:t xml:space="preserve">[13] Language teaching. </w:t>
      </w:r>
      <w:r>
        <w:t>Yavapai-Apache Nation. (2026, April 23). Apache Grammar and Dictionary Class Held at Cultural Resource Center. Primary community report.</w:t>
      </w:r>
    </w:p>
    <w:p>
      <w:pPr>
        <w:keepLines/>
        <w:spacing w:after="240" w:line="240" w:lineRule="auto"/>
      </w:pPr>
      <w:hyperlink r:id="rId22">
        <w:r>
          <w:rPr>
            <w:color w:val="17446B"/>
            <w:sz w:val="20"/>
          </w:rPr>
          <w:t>https://yavapai-apache.org/apache-grammar-and-use-of-the-apache-dictionary-class/</w:t>
        </w:r>
      </w:hyperlink>
    </w:p>
    <w:p>
      <w:pPr>
        <w:keepNext/>
        <w:spacing w:after="60"/>
      </w:pPr>
      <w:r>
        <w:rPr>
          <w:b/>
        </w:rPr>
        <w:t xml:space="preserve">[14] Public remembrance. </w:t>
      </w:r>
      <w:r>
        <w:t>Yavapai-Apache Nation. Exodus Day 2026. Tribal description of its annual commemoration and the program scheduled for February 28, 2026.</w:t>
      </w:r>
    </w:p>
    <w:p>
      <w:pPr>
        <w:keepLines/>
        <w:spacing w:after="240" w:line="240" w:lineRule="auto"/>
      </w:pPr>
      <w:hyperlink r:id="rId23">
        <w:r>
          <w:rPr>
            <w:color w:val="17446B"/>
            <w:sz w:val="20"/>
          </w:rPr>
          <w:t>https://yavapai-apache.org/exodus-day-2026/</w:t>
        </w:r>
      </w:hyperlink>
    </w:p>
    <w:p>
      <w:pPr>
        <w:keepNext/>
        <w:spacing w:after="60"/>
      </w:pPr>
      <w:r>
        <w:rPr>
          <w:b/>
        </w:rPr>
        <w:t xml:space="preserve">[15] Living ceremonial tradition. </w:t>
      </w:r>
      <w:r>
        <w:t>Yavapai-Apache Nation. (2022, April 25). Darnell and Tahnee Baker Humbly Request Your Prayers As We Co-Sponsor An Apache Sunrise Ceremony In Honor of Our God-Daughter. Public family announcement.</w:t>
      </w:r>
    </w:p>
    <w:p>
      <w:pPr>
        <w:keepLines/>
        <w:spacing w:after="240" w:line="240" w:lineRule="auto"/>
      </w:pPr>
      <w:hyperlink r:id="rId24">
        <w:r>
          <w:rPr>
            <w:color w:val="17446B"/>
            <w:sz w:val="20"/>
          </w:rPr>
          <w:t>https://yavapai-apache.org/darnell-and-tahnee-baker-humbly-request-your-prayers-as-we-co-sponsor-an-apache-sunrise-ceremony-in-honor-of-our-god-daughter/</w:t>
        </w:r>
      </w:hyperlink>
    </w:p>
    <w:sectPr w:rsidR="00FC693F" w:rsidRPr="0006063C" w:rsidSect="00034616">
      <w:footerReference w:type="default" r:id="rId9"/>
      <w:pgSz w:w="12240" w:h="15840"/>
      <w:pgMar w:top="1080" w:right="1152" w:bottom="1008" w:left="1152" w:header="72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Lines/>
      <w:widowControl/>
      <w:spacing w:line="269" w:lineRule="auto" w:after="140"/>
    </w:pPr>
    <w:rPr>
      <w:rFonts w:ascii="Calibri" w:hAnsi="Calibri" w:eastAsia="Calibri"/>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Calibri" w:hAnsi="Calibri" w:eastAsia="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Calibri" w:hAnsi="Calibri" w:eastAsia="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Calibri" w:hAnsi="Calibri" w:eastAsia="Calibri"/>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320"/>
    </w:pPr>
    <w:rPr>
      <w:rFonts w:asciiTheme="majorHAnsi" w:eastAsiaTheme="majorEastAsia" w:hAnsiTheme="majorHAnsi" w:cstheme="majorBidi" w:ascii="Calibri" w:hAnsi="Calibri" w:eastAsia="Calibri"/>
      <w:b w:val="0"/>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yavapai-apache.org/yavapai-apache-nation/" TargetMode="External"/><Relationship Id="rId11" Type="http://schemas.openxmlformats.org/officeDocument/2006/relationships/hyperlink" Target="https://www.pnas.org/doi/10.1073/pnas.2509169122" TargetMode="External"/><Relationship Id="rId12" Type="http://schemas.openxmlformats.org/officeDocument/2006/relationships/hyperlink" Target="https://www.nps.gov/articles/apache.htm" TargetMode="External"/><Relationship Id="rId13" Type="http://schemas.openxmlformats.org/officeDocument/2006/relationships/hyperlink" Target="https://repository.si.edu/bitstreams/8c2718e9-e170-4b4d-9cc3-1f7aa5835feb/download" TargetMode="External"/><Relationship Id="rId14" Type="http://schemas.openxmlformats.org/officeDocument/2006/relationships/hyperlink" Target="https://americanindian.si.edu/collections-search/object/NMAI_102624" TargetMode="External"/><Relationship Id="rId15" Type="http://schemas.openxmlformats.org/officeDocument/2006/relationships/hyperlink" Target="https://americanindian.si.edu/collections-search/object/NMAI_102621" TargetMode="External"/><Relationship Id="rId16" Type="http://schemas.openxmlformats.org/officeDocument/2006/relationships/hyperlink" Target="https://www.nps.gov/tont/learn/historyculture/yavapai_and_apache.htm" TargetMode="External"/><Relationship Id="rId17" Type="http://schemas.openxmlformats.org/officeDocument/2006/relationships/hyperlink" Target="https://yavapai-apache.org/wp-content/uploads/2024/01/2024_01_12-Brief-History-of-YAN.pdf" TargetMode="External"/><Relationship Id="rId18" Type="http://schemas.openxmlformats.org/officeDocument/2006/relationships/hyperlink" Target="https://www.govinfo.gov/content/pkg/STATUTE-86/pdf/STATUTE-86-Pg783.pdf" TargetMode="External"/><Relationship Id="rId19" Type="http://schemas.openxmlformats.org/officeDocument/2006/relationships/hyperlink" Target="https://naair.arizona.edu/sites/default/files/constitution_tonto_apache_0.pdf" TargetMode="External"/><Relationship Id="rId20" Type="http://schemas.openxmlformats.org/officeDocument/2006/relationships/hyperlink" Target="https://naair.arizona.edu/tonto-apache-tribe" TargetMode="External"/><Relationship Id="rId21" Type="http://schemas.openxmlformats.org/officeDocument/2006/relationships/hyperlink" Target="https://www.tontoapacheschools.org/about-1" TargetMode="External"/><Relationship Id="rId22" Type="http://schemas.openxmlformats.org/officeDocument/2006/relationships/hyperlink" Target="https://yavapai-apache.org/apache-grammar-and-use-of-the-apache-dictionary-class/" TargetMode="External"/><Relationship Id="rId23" Type="http://schemas.openxmlformats.org/officeDocument/2006/relationships/hyperlink" Target="https://yavapai-apache.org/exodus-day-2026/" TargetMode="External"/><Relationship Id="rId24" Type="http://schemas.openxmlformats.org/officeDocument/2006/relationships/hyperlink" Target="https://yavapai-apache.org/darnell-and-tahnee-baker-humbly-request-your-prayers-as-we-co-sponsor-an-apache-sunrise-ceremony-in-honor-of-our-god-daugh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Tonto Apache Culture History and Timeline</dc:title>
  <dc:subject>Tonto Apache history and culture in central Arizona</dc:subject>
  <dc:creator/>
  <cp:keywords>Tonto Apache; Dilzhe e; Arizona; Indigenous history</cp:keywords>
  <dc:description>generated by python-docx</dc:description>
  <cp:lastModifiedBy/>
  <cp:revision>1</cp:revision>
  <dcterms:created xsi:type="dcterms:W3CDTF">2013-12-23T23:15:00Z</dcterms:created>
  <dcterms:modified xsi:type="dcterms:W3CDTF">2013-12-23T23:15:00Z</dcterms:modified>
  <cp:category/>
</cp:coreProperties>
</file>