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Umatilla Culture History and Timeline</w:t>
      </w:r>
    </w:p>
    <w:p>
      <w:pPr>
        <w:pStyle w:val="Subtitle"/>
      </w:pPr>
      <w:r>
        <w:t>The Umatilla people and the Confederated Tribes of the Umatilla Indian Reservation</w:t>
      </w:r>
    </w:p>
    <w:p>
      <w:r>
        <w:t>The Umatilla are a Native people of the Columbia Plateau whose history centers on the Columbia River and its tributaries. Today they share a government with the Cayuse and Walla Walla through the Confederated Tribes of the Umatilla Indian Reservation, commonly called CTUIR. Each people retains a distinct heritage. Their shared government supports a living community with its own political institutions, businesses and cultural programs. [1]</w:t>
      </w:r>
    </w:p>
    <w:p>
      <w:r>
        <w:t>This study follows the Umatilla from their river homeland through treaty making, reservation life and the recovery of greater control over tribal affairs. Food, language and access to land connect these periods. Because many institutions now serve all three peoples, their shared history is identified as CTUIR history where appropriate. [7]</w:t>
      </w:r>
    </w:p>
    <w:p>
      <w:pPr>
        <w:pStyle w:val="Heading1"/>
      </w:pPr>
      <w:r>
        <w:t>Identity and homeland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0" w:type="dxa"/>
          <w:bottom w:w="80" w:type="dxa"/>
          <w:left w:w="105" w:type="dxa"/>
          <w:right w:w="105" w:type="dxa"/>
        </w:tblCellMar>
      </w:tblPr>
      <w:tblGrid>
        <w:gridCol w:w="2477"/>
        <w:gridCol w:w="7459"/>
      </w:tblGrid>
      <w:tr>
        <w:trPr>
          <w:tblHeader/>
        </w:trPr>
        <w:tc>
          <w:tcPr>
            <w:tcW w:type="dxa" w:w="2477"/>
            <w:shd w:fill="233D4D"/>
            <w:vAlign w:val="center"/>
          </w:tcPr>
          <w:p>
            <w:pPr>
              <w:spacing w:after="0" w:line="252" w:lineRule="auto"/>
              <w:jc w:val="left"/>
            </w:pPr>
            <w:r>
              <w:rPr>
                <w:rFonts w:ascii="Arial" w:hAnsi="Arial"/>
                <w:b/>
                <w:color w:val="FFFFFF"/>
                <w:sz w:val="21"/>
              </w:rPr>
              <w:t>Subject</w:t>
            </w:r>
          </w:p>
        </w:tc>
        <w:tc>
          <w:tcPr>
            <w:tcW w:type="dxa" w:w="7459"/>
            <w:shd w:fill="233D4D"/>
            <w:vAlign w:val="center"/>
          </w:tcPr>
          <w:p>
            <w:pPr>
              <w:spacing w:after="0" w:line="252" w:lineRule="auto"/>
              <w:jc w:val="left"/>
            </w:pPr>
            <w:r>
              <w:rPr>
                <w:rFonts w:ascii="Arial" w:hAnsi="Arial"/>
                <w:b/>
                <w:color w:val="FFFFFF"/>
                <w:sz w:val="21"/>
              </w:rPr>
              <w:t>Details</w:t>
            </w:r>
          </w:p>
        </w:tc>
      </w:tr>
      <w:tr>
        <w:trPr>
          <w:cantSplit/>
        </w:trPr>
        <w:tc>
          <w:tcPr>
            <w:tcW w:type="dxa" w:w="2477"/>
            <w:vAlign w:val="center"/>
            <w:shd w:fill="F0F4F6"/>
          </w:tcPr>
          <w:p>
            <w:pPr>
              <w:spacing w:after="0" w:line="257" w:lineRule="auto"/>
              <w:jc w:val="center"/>
            </w:pPr>
            <w:r>
              <w:rPr>
                <w:rFonts w:ascii="Cambria" w:hAnsi="Cambria"/>
                <w:b/>
                <w:sz w:val="21"/>
              </w:rPr>
              <w:t>People</w:t>
            </w:r>
          </w:p>
        </w:tc>
        <w:tc>
          <w:tcPr>
            <w:tcW w:type="dxa" w:w="7459"/>
            <w:vAlign w:val="center"/>
            <w:shd w:fill="F0F4F6"/>
          </w:tcPr>
          <w:p>
            <w:pPr>
              <w:spacing w:after="0" w:line="257" w:lineRule="auto"/>
              <w:jc w:val="left"/>
            </w:pPr>
            <w:r>
              <w:rPr>
                <w:rFonts w:ascii="Cambria" w:hAnsi="Cambria"/>
                <w:sz w:val="21"/>
              </w:rPr>
              <w:t>Umatilla [3]</w:t>
            </w:r>
          </w:p>
        </w:tc>
      </w:tr>
      <w:tr>
        <w:trPr>
          <w:cantSplit/>
        </w:trPr>
        <w:tc>
          <w:tcPr>
            <w:tcW w:type="dxa" w:w="2477"/>
            <w:vAlign w:val="center"/>
            <w:shd w:fill="FFFFFF"/>
          </w:tcPr>
          <w:p>
            <w:pPr>
              <w:spacing w:after="0" w:line="257" w:lineRule="auto"/>
              <w:jc w:val="center"/>
            </w:pPr>
            <w:r>
              <w:rPr>
                <w:rFonts w:ascii="Cambria" w:hAnsi="Cambria"/>
                <w:b/>
                <w:sz w:val="21"/>
              </w:rPr>
              <w:t>Cultural region</w:t>
            </w:r>
          </w:p>
        </w:tc>
        <w:tc>
          <w:tcPr>
            <w:tcW w:type="dxa" w:w="7459"/>
            <w:vAlign w:val="center"/>
            <w:shd w:fill="FFFFFF"/>
          </w:tcPr>
          <w:p>
            <w:pPr>
              <w:spacing w:after="0" w:line="257" w:lineRule="auto"/>
              <w:jc w:val="left"/>
            </w:pPr>
            <w:r>
              <w:rPr>
                <w:rFonts w:ascii="Cambria" w:hAnsi="Cambria"/>
                <w:sz w:val="21"/>
              </w:rPr>
              <w:t>Columbia Plateau in the inland Pacific Northwest [2]</w:t>
            </w:r>
          </w:p>
        </w:tc>
      </w:tr>
      <w:tr>
        <w:trPr>
          <w:cantSplit/>
        </w:trPr>
        <w:tc>
          <w:tcPr>
            <w:tcW w:type="dxa" w:w="2477"/>
            <w:vAlign w:val="center"/>
            <w:shd w:fill="F0F4F6"/>
          </w:tcPr>
          <w:p>
            <w:pPr>
              <w:spacing w:after="0" w:line="257" w:lineRule="auto"/>
              <w:jc w:val="center"/>
            </w:pPr>
            <w:r>
              <w:rPr>
                <w:rFonts w:ascii="Cambria" w:hAnsi="Cambria"/>
                <w:b/>
                <w:sz w:val="21"/>
              </w:rPr>
              <w:t>Traditional river homeland</w:t>
            </w:r>
          </w:p>
        </w:tc>
        <w:tc>
          <w:tcPr>
            <w:tcW w:type="dxa" w:w="7459"/>
            <w:vAlign w:val="center"/>
            <w:shd w:fill="F0F4F6"/>
          </w:tcPr>
          <w:p>
            <w:pPr>
              <w:spacing w:after="0" w:line="257" w:lineRule="auto"/>
              <w:jc w:val="left"/>
            </w:pPr>
            <w:r>
              <w:rPr>
                <w:rFonts w:ascii="Cambria" w:hAnsi="Cambria"/>
                <w:sz w:val="21"/>
              </w:rPr>
              <w:t>Both banks of the Columbia near the Umatilla River and neighboring reaches [2]</w:t>
            </w:r>
          </w:p>
        </w:tc>
      </w:tr>
      <w:tr>
        <w:trPr>
          <w:cantSplit/>
        </w:trPr>
        <w:tc>
          <w:tcPr>
            <w:tcW w:type="dxa" w:w="2477"/>
            <w:vAlign w:val="center"/>
            <w:shd w:fill="FFFFFF"/>
          </w:tcPr>
          <w:p>
            <w:pPr>
              <w:spacing w:after="0" w:line="257" w:lineRule="auto"/>
              <w:jc w:val="center"/>
            </w:pPr>
            <w:r>
              <w:rPr>
                <w:rFonts w:ascii="Cambria" w:hAnsi="Cambria"/>
                <w:b/>
                <w:sz w:val="21"/>
              </w:rPr>
              <w:t>Shared tribal government</w:t>
            </w:r>
          </w:p>
        </w:tc>
        <w:tc>
          <w:tcPr>
            <w:tcW w:type="dxa" w:w="7459"/>
            <w:vAlign w:val="center"/>
            <w:shd w:fill="FFFFFF"/>
          </w:tcPr>
          <w:p>
            <w:pPr>
              <w:spacing w:after="0" w:line="257" w:lineRule="auto"/>
              <w:jc w:val="left"/>
            </w:pPr>
            <w:r>
              <w:rPr>
                <w:rFonts w:ascii="Cambria" w:hAnsi="Cambria"/>
                <w:sz w:val="21"/>
              </w:rPr>
              <w:t>Confederated Tribes of the Umatilla Indian Reservation [1]</w:t>
            </w:r>
          </w:p>
        </w:tc>
      </w:tr>
      <w:tr>
        <w:trPr>
          <w:cantSplit/>
        </w:trPr>
        <w:tc>
          <w:tcPr>
            <w:tcW w:type="dxa" w:w="2477"/>
            <w:vAlign w:val="center"/>
            <w:shd w:fill="F0F4F6"/>
          </w:tcPr>
          <w:p>
            <w:pPr>
              <w:spacing w:after="0" w:line="257" w:lineRule="auto"/>
              <w:jc w:val="center"/>
            </w:pPr>
            <w:r>
              <w:rPr>
                <w:rFonts w:ascii="Cambria" w:hAnsi="Cambria"/>
                <w:b/>
                <w:sz w:val="21"/>
              </w:rPr>
              <w:t>Reservation and headquarters</w:t>
            </w:r>
          </w:p>
        </w:tc>
        <w:tc>
          <w:tcPr>
            <w:tcW w:type="dxa" w:w="7459"/>
            <w:vAlign w:val="center"/>
            <w:shd w:fill="F0F4F6"/>
          </w:tcPr>
          <w:p>
            <w:pPr>
              <w:spacing w:after="0" w:line="257" w:lineRule="auto"/>
              <w:jc w:val="left"/>
            </w:pPr>
            <w:r>
              <w:rPr>
                <w:rFonts w:ascii="Cambria" w:hAnsi="Cambria"/>
                <w:sz w:val="21"/>
              </w:rPr>
              <w:t>Northeastern Oregon near Pendleton with headquarters at Mission [3]</w:t>
            </w:r>
          </w:p>
        </w:tc>
      </w:tr>
      <w:tr>
        <w:trPr>
          <w:cantSplit/>
        </w:trPr>
        <w:tc>
          <w:tcPr>
            <w:tcW w:type="dxa" w:w="2477"/>
            <w:vAlign w:val="center"/>
            <w:shd w:fill="FFFFFF"/>
          </w:tcPr>
          <w:p>
            <w:pPr>
              <w:spacing w:after="0" w:line="257" w:lineRule="auto"/>
              <w:jc w:val="center"/>
            </w:pPr>
            <w:r>
              <w:rPr>
                <w:rFonts w:ascii="Cambria" w:hAnsi="Cambria"/>
                <w:b/>
                <w:sz w:val="21"/>
              </w:rPr>
              <w:t>Language</w:t>
            </w:r>
          </w:p>
        </w:tc>
        <w:tc>
          <w:tcPr>
            <w:tcW w:type="dxa" w:w="7459"/>
            <w:vAlign w:val="center"/>
            <w:shd w:fill="FFFFFF"/>
          </w:tcPr>
          <w:p>
            <w:pPr>
              <w:spacing w:after="0" w:line="257" w:lineRule="auto"/>
              <w:jc w:val="left"/>
            </w:pPr>
            <w:r>
              <w:rPr>
                <w:rFonts w:ascii="Cambria" w:hAnsi="Cambria"/>
                <w:sz w:val="21"/>
              </w:rPr>
              <w:t>A southern dialect of Sahaptin [6]</w:t>
            </w:r>
          </w:p>
        </w:tc>
      </w:tr>
    </w:tbl>
    <w:p>
      <w:pPr>
        <w:pStyle w:val="Caption"/>
      </w:pPr>
      <w:r>
        <w:t>Basic facts about the Umatilla and their shared government</w:t>
      </w:r>
    </w:p>
    <w:p>
      <w:r>
        <w:t>The Umatilla homeland crossed the Columbia rather than stopping at today's Oregon and Washington boundary. Tribal history places Umatilla communities on both sides of the river near the Umatilla River's mouth, extending downstream toward Willow Creek on the Oregon side and Rock Creek on the Washington side. River travel linked families and trading partners across this country. [2]</w:t>
      </w:r>
    </w:p>
    <w:p>
      <w:r>
        <w:t>The reservation is a smaller part of that wider homeland. CTUIR describes it as about 172,000 acres. Reservation boundaries and tribal land ownership are different measures: land inside the reservation includes several ownership categories. The historic territory ceded by the three peoples covered about 6.4 million acres. Those figures concern the confederation as a whole. [3]</w:t>
      </w:r>
    </w:p>
    <w:p>
      <w:pPr>
        <w:pStyle w:val="Heading1"/>
      </w:pPr>
      <w:r>
        <w:t>Food and the yearly round</w:t>
      </w:r>
    </w:p>
    <w:p>
      <w:pPr>
        <w:keepLines/>
      </w:pPr>
      <w:r>
        <w:t>Families followed a yearly round of fishing, root digging, berry picking and hunting. Movement depended on when foods became available at different elevations. Harvests were dried and stored so that a productive season could help carry people through winter. Salmon was central, alongside foods such as biscuitroot, berries, deer and elk. [4]</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0" w:type="dxa"/>
          <w:bottom w:w="80" w:type="dxa"/>
          <w:left w:w="105" w:type="dxa"/>
          <w:right w:w="105" w:type="dxa"/>
        </w:tblCellMar>
      </w:tblPr>
      <w:tblGrid>
        <w:gridCol w:w="1843"/>
        <w:gridCol w:w="3197"/>
        <w:gridCol w:w="4896"/>
      </w:tblGrid>
      <w:tr>
        <w:trPr>
          <w:tblHeader/>
        </w:trPr>
        <w:tc>
          <w:tcPr>
            <w:tcW w:type="dxa" w:w="1843"/>
            <w:shd w:fill="233D4D"/>
            <w:vAlign w:val="center"/>
          </w:tcPr>
          <w:p>
            <w:pPr>
              <w:spacing w:after="0" w:line="252" w:lineRule="auto"/>
              <w:jc w:val="center"/>
            </w:pPr>
            <w:r>
              <w:rPr>
                <w:rFonts w:ascii="Arial" w:hAnsi="Arial"/>
                <w:b/>
                <w:color w:val="FFFFFF"/>
                <w:sz w:val="21"/>
              </w:rPr>
              <w:t>Season</w:t>
            </w:r>
          </w:p>
        </w:tc>
        <w:tc>
          <w:tcPr>
            <w:tcW w:type="dxa" w:w="3197"/>
            <w:shd w:fill="233D4D"/>
            <w:vAlign w:val="center"/>
          </w:tcPr>
          <w:p>
            <w:pPr>
              <w:spacing w:after="0" w:line="252" w:lineRule="auto"/>
              <w:jc w:val="left"/>
            </w:pPr>
            <w:r>
              <w:rPr>
                <w:rFonts w:ascii="Arial" w:hAnsi="Arial"/>
                <w:b/>
                <w:color w:val="FFFFFF"/>
                <w:sz w:val="21"/>
              </w:rPr>
              <w:t>Place</w:t>
            </w:r>
          </w:p>
        </w:tc>
        <w:tc>
          <w:tcPr>
            <w:tcW w:type="dxa" w:w="4896"/>
            <w:shd w:fill="233D4D"/>
            <w:vAlign w:val="center"/>
          </w:tcPr>
          <w:p>
            <w:pPr>
              <w:spacing w:after="0" w:line="252" w:lineRule="auto"/>
              <w:jc w:val="left"/>
            </w:pPr>
            <w:r>
              <w:rPr>
                <w:rFonts w:ascii="Arial" w:hAnsi="Arial"/>
                <w:b/>
                <w:color w:val="FFFFFF"/>
                <w:sz w:val="21"/>
              </w:rPr>
              <w:t>Main work</w:t>
            </w:r>
          </w:p>
        </w:tc>
      </w:tr>
      <w:tr>
        <w:trPr>
          <w:cantSplit/>
        </w:trPr>
        <w:tc>
          <w:tcPr>
            <w:tcW w:type="dxa" w:w="1843"/>
            <w:vAlign w:val="center"/>
            <w:shd w:fill="F0F4F6"/>
          </w:tcPr>
          <w:p>
            <w:pPr>
              <w:spacing w:after="0" w:line="257" w:lineRule="auto"/>
              <w:jc w:val="center"/>
            </w:pPr>
            <w:r>
              <w:rPr>
                <w:rFonts w:ascii="Cambria" w:hAnsi="Cambria"/>
                <w:b/>
                <w:sz w:val="21"/>
              </w:rPr>
              <w:t>Spring</w:t>
            </w:r>
          </w:p>
        </w:tc>
        <w:tc>
          <w:tcPr>
            <w:tcW w:type="dxa" w:w="3197"/>
            <w:vAlign w:val="center"/>
            <w:shd w:fill="F0F4F6"/>
          </w:tcPr>
          <w:p>
            <w:pPr>
              <w:spacing w:after="0" w:line="257" w:lineRule="auto"/>
              <w:jc w:val="left"/>
            </w:pPr>
            <w:r>
              <w:rPr>
                <w:rFonts w:ascii="Cambria" w:hAnsi="Cambria"/>
                <w:sz w:val="21"/>
              </w:rPr>
              <w:t>Columbia River fishing sites</w:t>
            </w:r>
          </w:p>
        </w:tc>
        <w:tc>
          <w:tcPr>
            <w:tcW w:type="dxa" w:w="4896"/>
            <w:vAlign w:val="center"/>
            <w:shd w:fill="F0F4F6"/>
          </w:tcPr>
          <w:p>
            <w:pPr>
              <w:spacing w:after="0" w:line="257" w:lineRule="auto"/>
              <w:jc w:val="left"/>
            </w:pPr>
            <w:r>
              <w:rPr>
                <w:rFonts w:ascii="Cambria" w:hAnsi="Cambria"/>
                <w:sz w:val="21"/>
              </w:rPr>
              <w:t>Catch salmon and dry fish for storage</w:t>
            </w:r>
          </w:p>
        </w:tc>
      </w:tr>
      <w:tr>
        <w:trPr>
          <w:cantSplit/>
        </w:trPr>
        <w:tc>
          <w:tcPr>
            <w:tcW w:type="dxa" w:w="1843"/>
            <w:vAlign w:val="center"/>
            <w:shd w:fill="FFFFFF"/>
          </w:tcPr>
          <w:p>
            <w:pPr>
              <w:spacing w:after="0" w:line="257" w:lineRule="auto"/>
              <w:jc w:val="center"/>
            </w:pPr>
            <w:r>
              <w:rPr>
                <w:rFonts w:ascii="Cambria" w:hAnsi="Cambria"/>
                <w:b/>
                <w:sz w:val="21"/>
              </w:rPr>
              <w:t>Late spring and early summer</w:t>
            </w:r>
          </w:p>
        </w:tc>
        <w:tc>
          <w:tcPr>
            <w:tcW w:type="dxa" w:w="3197"/>
            <w:vAlign w:val="center"/>
            <w:shd w:fill="FFFFFF"/>
          </w:tcPr>
          <w:p>
            <w:pPr>
              <w:spacing w:after="0" w:line="257" w:lineRule="auto"/>
              <w:jc w:val="left"/>
            </w:pPr>
            <w:r>
              <w:rPr>
                <w:rFonts w:ascii="Cambria" w:hAnsi="Cambria"/>
                <w:sz w:val="21"/>
              </w:rPr>
              <w:t>Blue Mountain foothills</w:t>
            </w:r>
          </w:p>
        </w:tc>
        <w:tc>
          <w:tcPr>
            <w:tcW w:type="dxa" w:w="4896"/>
            <w:vAlign w:val="center"/>
            <w:shd w:fill="FFFFFF"/>
          </w:tcPr>
          <w:p>
            <w:pPr>
              <w:spacing w:after="0" w:line="257" w:lineRule="auto"/>
              <w:jc w:val="left"/>
            </w:pPr>
            <w:r>
              <w:rPr>
                <w:rFonts w:ascii="Cambria" w:hAnsi="Cambria"/>
                <w:sz w:val="21"/>
              </w:rPr>
              <w:t>Dig and dry roots including cous or biscuitroot</w:t>
            </w:r>
          </w:p>
        </w:tc>
      </w:tr>
      <w:tr>
        <w:trPr>
          <w:cantSplit/>
        </w:trPr>
        <w:tc>
          <w:tcPr>
            <w:tcW w:type="dxa" w:w="1843"/>
            <w:vAlign w:val="center"/>
            <w:shd w:fill="F0F4F6"/>
          </w:tcPr>
          <w:p>
            <w:pPr>
              <w:spacing w:after="0" w:line="257" w:lineRule="auto"/>
              <w:jc w:val="center"/>
            </w:pPr>
            <w:r>
              <w:rPr>
                <w:rFonts w:ascii="Cambria" w:hAnsi="Cambria"/>
                <w:b/>
                <w:sz w:val="21"/>
              </w:rPr>
              <w:t>Late summer</w:t>
            </w:r>
          </w:p>
        </w:tc>
        <w:tc>
          <w:tcPr>
            <w:tcW w:type="dxa" w:w="3197"/>
            <w:vAlign w:val="center"/>
            <w:shd w:fill="F0F4F6"/>
          </w:tcPr>
          <w:p>
            <w:pPr>
              <w:spacing w:after="0" w:line="257" w:lineRule="auto"/>
              <w:jc w:val="left"/>
            </w:pPr>
            <w:r>
              <w:rPr>
                <w:rFonts w:ascii="Cambria" w:hAnsi="Cambria"/>
                <w:sz w:val="21"/>
              </w:rPr>
              <w:t>Higher mountain country</w:t>
            </w:r>
          </w:p>
        </w:tc>
        <w:tc>
          <w:tcPr>
            <w:tcW w:type="dxa" w:w="4896"/>
            <w:vAlign w:val="center"/>
            <w:shd w:fill="F0F4F6"/>
          </w:tcPr>
          <w:p>
            <w:pPr>
              <w:spacing w:after="0" w:line="257" w:lineRule="auto"/>
              <w:jc w:val="left"/>
            </w:pPr>
            <w:r>
              <w:rPr>
                <w:rFonts w:ascii="Cambria" w:hAnsi="Cambria"/>
                <w:sz w:val="21"/>
              </w:rPr>
              <w:t>Gather berries and hunt deer and elk</w:t>
            </w:r>
          </w:p>
        </w:tc>
      </w:tr>
      <w:tr>
        <w:trPr>
          <w:cantSplit/>
        </w:trPr>
        <w:tc>
          <w:tcPr>
            <w:tcW w:type="dxa" w:w="1843"/>
            <w:vAlign w:val="center"/>
            <w:shd w:fill="FFFFFF"/>
          </w:tcPr>
          <w:p>
            <w:pPr>
              <w:spacing w:after="0" w:line="257" w:lineRule="auto"/>
              <w:jc w:val="center"/>
            </w:pPr>
            <w:r>
              <w:rPr>
                <w:rFonts w:ascii="Cambria" w:hAnsi="Cambria"/>
                <w:b/>
                <w:sz w:val="21"/>
              </w:rPr>
              <w:t>Fall and winter</w:t>
            </w:r>
          </w:p>
        </w:tc>
        <w:tc>
          <w:tcPr>
            <w:tcW w:type="dxa" w:w="3197"/>
            <w:vAlign w:val="center"/>
            <w:shd w:fill="FFFFFF"/>
          </w:tcPr>
          <w:p>
            <w:pPr>
              <w:spacing w:after="0" w:line="257" w:lineRule="auto"/>
              <w:jc w:val="left"/>
            </w:pPr>
            <w:r>
              <w:rPr>
                <w:rFonts w:ascii="Cambria" w:hAnsi="Cambria"/>
                <w:sz w:val="21"/>
              </w:rPr>
              <w:t>Lower valleys and river camps</w:t>
            </w:r>
          </w:p>
        </w:tc>
        <w:tc>
          <w:tcPr>
            <w:tcW w:type="dxa" w:w="4896"/>
            <w:vAlign w:val="center"/>
            <w:shd w:fill="FFFFFF"/>
          </w:tcPr>
          <w:p>
            <w:pPr>
              <w:spacing w:after="0" w:line="257" w:lineRule="auto"/>
              <w:jc w:val="left"/>
            </w:pPr>
            <w:r>
              <w:rPr>
                <w:rFonts w:ascii="Cambria" w:hAnsi="Cambria"/>
                <w:sz w:val="21"/>
              </w:rPr>
              <w:t>Fish the fall run and use stored foods through winter</w:t>
            </w:r>
          </w:p>
        </w:tc>
      </w:tr>
    </w:tbl>
    <w:p>
      <w:pPr>
        <w:pStyle w:val="Caption"/>
      </w:pPr>
      <w:r>
        <w:t>The shared seasonal pattern described by CTUIR [4]</w:t>
      </w:r>
    </w:p>
    <w:p>
      <w:r>
        <w:t>These journeys followed familiar places and recurring tasks. People needed knowledge of fish runs, plants, weather and food storage. A fishing site could also bring people together for trade and family visits. The seasonal pattern connected lowland rivers with upland food sources. [4, 20]</w:t>
      </w:r>
    </w:p>
    <w:p>
      <w:pPr>
        <w:pStyle w:val="Heading1"/>
      </w:pPr>
      <w:r>
        <w:t>Homes family and material culture</w:t>
      </w:r>
    </w:p>
    <w:p>
      <w:r>
        <w:t>Housing varied across the Columbia Plateau. James Ronda's study of Lewis and Clark describes mat-covered lodges as common between the Snake and Columbia confluence and The Dalles in 1805. Poles supported these buildings, which could shelter many people. His account specifically identifies Umatilla mat houses near the Umatilla River. These lodges were an important part of the river communities' built environment. [5]</w:t>
      </w:r>
    </w:p>
    <w:p>
      <w:r>
        <w:t>Baskets, hats and woven bags could hold food or display designs and symbols. Oral stories, songs and dance preserved family and community histories. Elders taught children through everyday work and guidance. Leaders gained standing through experience, useful skills and the ability to bring people toward agreement in council. [2]</w:t>
      </w:r>
    </w:p>
    <w:p>
      <w:r>
        <w:t>Celilo Falls was one of the great gathering places in the wider river network. People came to fish, exchange goods, take part in ceremonies and visit. Its trading connections placed Umatilla history within a much larger Indigenous economy. [14]</w:t>
      </w:r>
    </w:p>
    <w:p>
      <w:pPr>
        <w:pStyle w:val="Heading1"/>
      </w:pPr>
      <w:r>
        <w:t>Language and oral knowledge</w:t>
      </w:r>
    </w:p>
    <w:p>
      <w:r>
        <w:t>Umatilla is a southern dialect of Sahaptin. Walla Walla is a different Sahaptin dialect. The original Cayuse language was distinct; the language now taught as Weyíiletpuu is a form of Nez Perce used by Cayuse people. These differences matter because sharing a government does not mean that the three peoples always spoke one language. [6]</w:t>
      </w:r>
    </w:p>
    <w:p>
      <w:r>
        <w:t>CTUIR's language program records speakers, protects language materials and teaches people of different ages. A printed and online Umatilla dictionary gives learners another way to study. The tribal language page explains that language carries community history and ways of understanding the world. Revitalization therefore involves helping people use it as well as preserving written records. [6]</w:t>
      </w:r>
    </w:p>
    <w:p>
      <w:pPr>
        <w:pStyle w:val="Heading1"/>
      </w:pPr>
      <w:r>
        <w:t>Belief and responsibilities to the land</w:t>
      </w:r>
    </w:p>
    <w:p>
      <w:r>
        <w:t>Some members continue to practice Washat, also called Seven Drums. Other members follow Christian traditions. Religious life within the confederation has changed over time and differs among families. Traditional worship, singing, drumming and food gathering remain part of community life. [3, 7]</w:t>
      </w:r>
    </w:p>
    <w:p>
      <w:r>
        <w:t>Tamánwit refers to traditional law governing proper relationships among people and the surrounding world. At the 1855 council, tribal speakers drew on these relationships when explaining why land could not be treated simply as something to sell. Their arguments connected the earth, ancestors and the foods on which their people depended. [10]</w:t>
      </w:r>
    </w:p>
    <w:p>
      <w:r>
        <w:t>First Foods express a continuing responsibility between people and the sources of life. Water, salmon, game, roots and berries have places in this framework. CTUIR's Umatilla River Vision explains that ceremonial food order recalls the foods' promise to sustain people and people's duty to care for them. This belief also shapes present resource management. [8]</w:t>
      </w:r>
    </w:p>
    <w:p>
      <w:pPr>
        <w:pStyle w:val="Heading1"/>
      </w:pPr>
      <w:r>
        <w:t>Horses and outside contact</w:t>
      </w:r>
    </w:p>
    <w:p>
      <w:r>
        <w:t>The Umatilla, Cayuse and Walla Walla became known for horsemanship. Horses made it easier to carry goods and travel farther, widening trade and other contacts. Their use became part of an economy that linked fishing and gathering with livestock and exchanges across the region. The river remained important alongside travel over land. [2, 3, 17]</w:t>
      </w:r>
    </w:p>
    <w:p>
      <w:r>
        <w:t>Lewis and Clark passed through this region in 1805 and 1806. Native communities already had fishing grounds, trading connections and geographic knowledge. They supplied food, guidance and opportunities to exchange goods. The expedition entered an established Indigenous world. Encounters differed from village to village, and the explorers' written descriptions reflect their own viewpoint. [5, 20]</w:t>
      </w:r>
    </w:p>
    <w:p>
      <w:pPr>
        <w:pStyle w:val="Heading1"/>
      </w:pPr>
      <w:r>
        <w:t>Disease missions and settlement</w:t>
      </w:r>
    </w:p>
    <w:p>
      <w:r>
        <w:t>During the nineteenth century, missionaries and settlers brought growing pressure on Plateau communities. The Whitman mission stood in Cayuse country and became an important Oregon Trail stop. Disease, disputes over supplies, religious conflict and increasing settlement damaged relations. A severe measles crisis helped deepen suspicion of Marcus Whitman's medical work. [9]</w:t>
      </w:r>
    </w:p>
    <w:p>
      <w:r>
        <w:t>In November 1847, an attack killed Marcus and Narcissa Whitman and other people at the mission. The resulting Cayuse War and expanding American control affected communities across the wider Plateau. The crisis became one justification for greater settler and government pressure on Native lands. [9]</w:t>
      </w:r>
    </w:p>
    <w:p>
      <w:pPr>
        <w:pStyle w:val="Heading1"/>
      </w:pPr>
      <w:r>
        <w:t>The Treaty of 1855</w:t>
      </w:r>
    </w:p>
    <w:p>
      <w:r>
        <w:t>United States officials Isaac Stevens and Joel Palmer sought land cessions at the Walla Walla council in 1855. Native leaders attended to protect their people and presented strong objections to surrendering their homelands. Historian Cliff Trafzer describes a negotiation shaped by unequal power and the threat of settler intrusion. Agreement emerged under that pressure. [10]</w:t>
      </w:r>
    </w:p>
    <w:p>
      <w:r>
        <w:t>The Walla Walla, Cayuse and Umatilla treaty was signed on June 9, 1855. It was ratified on March 8, 1859. Article 1 set aside a reservation and reserved fishing rights in reservation waters and at usual and accustomed stations outside it. It also secured hunting, root and berry gathering and livestock grazing on unclaimed lands. These clauses preserved activities beyond the reservation. [11]</w:t>
      </w:r>
    </w:p>
    <w:p>
      <w:r>
        <w:t>The treaty also imposed restrictions and promoted permanent farming. Article 6 allowed individual land assignments and threatened penalties for leaving assigned homes under specified conditions. The same document therefore protected important resource rights while giving federal officials tools to press for a different way of life. Its promises must be distinguished from later government conduct. [11]</w:t>
      </w:r>
    </w:p>
    <w:p>
      <w:pPr>
        <w:pStyle w:val="Heading1"/>
      </w:pPr>
      <w:r>
        <w:t>Allotment and boarding schools</w:t>
      </w:r>
    </w:p>
    <w:p>
      <w:r>
        <w:t>Allotment meant dividing reservation land into individual parcels. On Umatilla, Congress began this process through the Slater Act of 1885, before the broader General Allotment Act of 1887. Further legislation in 1888 reduced the reservation. Opening land to outsiders and breaking up the reservation estate weakened the land base available to the community. [12]</w:t>
      </w:r>
    </w:p>
    <w:p>
      <w:r>
        <w:t>Schools were another part of federal efforts to replace Native ways of life. Patrick Lozar's University of Oregon thesis documents the Umatilla boarding school completed in 1883. Officials sought to reshape children's clothing, work and daily conduct through close supervision. Boys received agricultural training while girls were taught household work. The purpose extended well beyond teaching reading and writing. [13]</w:t>
      </w:r>
    </w:p>
    <w:p>
      <w:r>
        <w:t>Families and leaders responded in different ways. Some wanted schooling that would help children deal with the changing economy while they challenged church control or sought more influence over education. Umatilla leader Wenap Snoot took part in these negotiations. Lozar calls the broader response adaptive resistance: people sometimes used new institutions while working to preserve family and tribal interests. Acceptance of a useful skill did not necessarily mean agreement with assimilation. [13]</w:t>
      </w:r>
    </w:p>
    <w:p>
      <w:pPr>
        <w:pStyle w:val="Heading1"/>
      </w:pPr>
      <w:r>
        <w:t>Government and self determination</w:t>
      </w:r>
    </w:p>
    <w:p>
      <w:r>
        <w:t>The adoption of a constitution and bylaws in 1949 established the modern elected government. CTUIR's governing Board of Trustees has nine members, including its chair. The General Council consists of adult tribal members and elects the Board. It also provides a forum where members hear reports and raise concerns. [1]</w:t>
      </w:r>
    </w:p>
    <w:p>
      <w:r>
        <w:t>These institutions let the confederation make decisions about education, natural resources and other public affairs through its own government. Sovereignty means a people's authority to govern itself. Present tribal government draws on the continuing political identity of the peoples whose representatives negotiated the treaty, while using institutions that have changed over time. [1, 10]</w:t>
      </w:r>
    </w:p>
    <w:p>
      <w:pPr>
        <w:pStyle w:val="Heading1"/>
      </w:pPr>
      <w:r>
        <w:t>Fishing rights and salmon restoration</w:t>
      </w:r>
    </w:p>
    <w:p>
      <w:r>
        <w:t>The flooding of Celilo Falls on March 10, 1957, behind The Dalles Dam destroyed a major fishery and gathering place. The loss damaged an economy built around the river and separated people from an important cultural site. Compensation for inundated fishing places did not purchase or cancel the treaty fishing rights themselves. [14]</w:t>
      </w:r>
    </w:p>
    <w:p>
      <w:r>
        <w:t>Tribal fishers and governments continued to press those rights. In 1969, Judge Robert Belloni's decision in the combined Sohappy v. Smith and United States v. Oregon cases recognized a tribal entitlement to a fair share of fish and limited discriminatory state regulation. In 1977, CTUIR joined three other Columbia Basin tribal governments to create the Columbia River Inter-Tribal Fish Commission. [15]</w:t>
      </w:r>
    </w:p>
    <w:p>
      <w:r>
        <w:t>In the Umatilla Basin, irrigation diversions had helped eliminate Chinook runs. Tribally led restoration brought together fish reintroduction, passage improvements and negotiations over water. Congress authorized the Umatilla Basin Project in 1988, and an agreement in 1992 advanced implementation. The water exchange supplied Columbia water to irrigation systems so that more Umatilla River water could remain available to fish. Salmon returned, although harmful water temperatures and low summer flows remained concerns. [16]</w:t>
      </w:r>
    </w:p>
    <w:p>
      <w:r>
        <w:t>The River Vision connects restoration with First Foods. It treats a healthy river as a functioning system of water flows, floodplains, plants and aquatic life. Success includes whether that system can continue to provide foods important to the tribal community. The approach brings cultural knowledge into direct conversation with river science and habitat management. [8]</w:t>
      </w:r>
    </w:p>
    <w:p>
      <w:pPr>
        <w:pStyle w:val="Heading1"/>
      </w:pPr>
      <w:r>
        <w:t>Umatilla life today</w:t>
      </w:r>
    </w:p>
    <w:p>
      <w:r>
        <w:t>The confederation's economy includes farming, livestock, timber and commercial enterprises. Wildhorse Resort and Casino and Cayuse Technologies are examples of businesses developed under tribal ownership. Cayuse Technologies opened on the reservation in 2006. These activities exist alongside the continuing importance of fishing, hunting and gathering. [17]</w:t>
      </w:r>
    </w:p>
    <w:p>
      <w:r>
        <w:t>Tamástslikt Cultural Institute presents the history of the Cayuse, Umatilla and Walla Walla from a tribal perspective. Its exhibits connect western expansion and its effects with present community life and future concerns. The institute helps the peoples explain their history publicly in their own terms. [18]</w:t>
      </w:r>
    </w:p>
    <w:p>
      <w:r>
        <w:t>Education is also part of cultural continuity. CTUIR's education program explicitly connects learning with language, traditional foods, family and tribal sovereignty. It calls for children to encounter food traditions and stories at school and at home. This places the transmission of knowledge within everyday education. [19]</w:t>
      </w:r>
    </w:p>
    <w:p>
      <w:r>
        <w:t>Umatilla history continues in decisions about rivers, schools and the use of land. Maintaining cultural knowledge depends partly on having places where people can practice it and institutions through which they can protect those places. The connection between food traditions and present government remains visible in both education and environmental work. [8, 19]</w:t>
      </w:r>
    </w:p>
    <w:p>
      <w:r>
        <w:br w:type="page"/>
      </w:r>
    </w:p>
    <w:p>
      <w:pPr>
        <w:pStyle w:val="Heading1"/>
      </w:pPr>
      <w:r>
        <w:t>Timeline</w:t>
      </w:r>
    </w:p>
    <w:p>
      <w:r>
        <w:t>The dates below place Umatilla events within the shared history of CTUIR and the wider Columbia Plateau.</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0" w:type="dxa"/>
          <w:bottom w:w="80" w:type="dxa"/>
          <w:left w:w="105" w:type="dxa"/>
          <w:right w:w="105" w:type="dxa"/>
        </w:tblCellMar>
      </w:tblPr>
      <w:tblGrid>
        <w:gridCol w:w="1944"/>
        <w:gridCol w:w="7992"/>
      </w:tblGrid>
      <w:tr>
        <w:trPr>
          <w:tblHeader/>
        </w:trPr>
        <w:tc>
          <w:tcPr>
            <w:tcW w:type="dxa" w:w="1944"/>
            <w:shd w:fill="233D4D"/>
            <w:vAlign w:val="center"/>
          </w:tcPr>
          <w:p>
            <w:pPr>
              <w:spacing w:after="0" w:line="252" w:lineRule="auto"/>
              <w:jc w:val="left"/>
            </w:pPr>
            <w:r>
              <w:rPr>
                <w:rFonts w:ascii="Arial" w:hAnsi="Arial"/>
                <w:b/>
                <w:color w:val="FFFFFF"/>
                <w:sz w:val="21"/>
              </w:rPr>
              <w:t>Date</w:t>
            </w:r>
          </w:p>
        </w:tc>
        <w:tc>
          <w:tcPr>
            <w:tcW w:type="dxa" w:w="7992"/>
            <w:shd w:fill="233D4D"/>
            <w:vAlign w:val="center"/>
          </w:tcPr>
          <w:p>
            <w:pPr>
              <w:spacing w:after="0" w:line="252" w:lineRule="auto"/>
              <w:jc w:val="left"/>
            </w:pPr>
            <w:r>
              <w:rPr>
                <w:rFonts w:ascii="Arial" w:hAnsi="Arial"/>
                <w:b/>
                <w:color w:val="FFFFFF"/>
                <w:sz w:val="21"/>
              </w:rPr>
              <w:t>Event</w:t>
            </w:r>
          </w:p>
        </w:tc>
      </w:tr>
      <w:tr>
        <w:trPr>
          <w:cantSplit/>
        </w:trPr>
        <w:tc>
          <w:tcPr>
            <w:tcW w:type="dxa" w:w="1944"/>
            <w:vAlign w:val="center"/>
            <w:shd w:fill="F0F4F6"/>
          </w:tcPr>
          <w:p>
            <w:pPr>
              <w:spacing w:after="0" w:line="257" w:lineRule="auto"/>
              <w:jc w:val="center"/>
            </w:pPr>
            <w:r>
              <w:rPr>
                <w:rFonts w:ascii="Cambria" w:hAnsi="Cambria"/>
                <w:b/>
                <w:sz w:val="21"/>
              </w:rPr>
              <w:t>Time immemorial</w:t>
            </w:r>
          </w:p>
        </w:tc>
        <w:tc>
          <w:tcPr>
            <w:tcW w:type="dxa" w:w="7992"/>
            <w:vAlign w:val="center"/>
            <w:shd w:fill="F0F4F6"/>
          </w:tcPr>
          <w:p>
            <w:pPr>
              <w:spacing w:after="0" w:line="257" w:lineRule="auto"/>
              <w:jc w:val="left"/>
            </w:pPr>
            <w:r>
              <w:rPr>
                <w:rFonts w:ascii="Cambria" w:hAnsi="Cambria"/>
                <w:sz w:val="21"/>
              </w:rPr>
              <w:t>Umatilla history is rooted in the Columbia River country and enduring relationships with its waters and foods. [2, 7]</w:t>
            </w:r>
          </w:p>
        </w:tc>
      </w:tr>
      <w:tr>
        <w:trPr>
          <w:cantSplit/>
        </w:trPr>
        <w:tc>
          <w:tcPr>
            <w:tcW w:type="dxa" w:w="1944"/>
            <w:vAlign w:val="center"/>
            <w:shd w:fill="FFFFFF"/>
          </w:tcPr>
          <w:p>
            <w:pPr>
              <w:spacing w:after="0" w:line="257" w:lineRule="auto"/>
              <w:jc w:val="center"/>
            </w:pPr>
            <w:r>
              <w:rPr>
                <w:rFonts w:ascii="Cambria" w:hAnsi="Cambria"/>
                <w:b/>
                <w:sz w:val="21"/>
              </w:rPr>
              <w:t>Before 1855</w:t>
            </w:r>
          </w:p>
        </w:tc>
        <w:tc>
          <w:tcPr>
            <w:tcW w:type="dxa" w:w="7992"/>
            <w:vAlign w:val="center"/>
            <w:shd w:fill="FFFFFF"/>
          </w:tcPr>
          <w:p>
            <w:pPr>
              <w:spacing w:after="0" w:line="257" w:lineRule="auto"/>
              <w:jc w:val="left"/>
            </w:pPr>
            <w:r>
              <w:rPr>
                <w:rFonts w:ascii="Cambria" w:hAnsi="Cambria"/>
                <w:sz w:val="21"/>
              </w:rPr>
              <w:t>Fishing, gathering, hunting and intertribal exchange connect river villages with upland food sources and wider trade networks. [3, 4]</w:t>
            </w:r>
          </w:p>
        </w:tc>
      </w:tr>
      <w:tr>
        <w:trPr>
          <w:cantSplit/>
        </w:trPr>
        <w:tc>
          <w:tcPr>
            <w:tcW w:type="dxa" w:w="1944"/>
            <w:vAlign w:val="center"/>
            <w:shd w:fill="F0F4F6"/>
          </w:tcPr>
          <w:p>
            <w:pPr>
              <w:spacing w:after="0" w:line="257" w:lineRule="auto"/>
              <w:jc w:val="center"/>
            </w:pPr>
            <w:r>
              <w:rPr>
                <w:rFonts w:ascii="Cambria" w:hAnsi="Cambria"/>
                <w:b/>
                <w:sz w:val="21"/>
              </w:rPr>
              <w:t>1805 and 1806</w:t>
            </w:r>
          </w:p>
        </w:tc>
        <w:tc>
          <w:tcPr>
            <w:tcW w:type="dxa" w:w="7992"/>
            <w:vAlign w:val="center"/>
            <w:shd w:fill="F0F4F6"/>
          </w:tcPr>
          <w:p>
            <w:pPr>
              <w:spacing w:after="0" w:line="257" w:lineRule="auto"/>
              <w:jc w:val="left"/>
            </w:pPr>
            <w:r>
              <w:rPr>
                <w:rFonts w:ascii="Cambria" w:hAnsi="Cambria"/>
                <w:sz w:val="21"/>
              </w:rPr>
              <w:t>Lewis and Clark travel through Plateau communities and rely on Native knowledge, food and trade. [5, 20]</w:t>
            </w:r>
          </w:p>
        </w:tc>
      </w:tr>
      <w:tr>
        <w:trPr>
          <w:cantSplit/>
        </w:trPr>
        <w:tc>
          <w:tcPr>
            <w:tcW w:type="dxa" w:w="1944"/>
            <w:vAlign w:val="center"/>
            <w:shd w:fill="FFFFFF"/>
          </w:tcPr>
          <w:p>
            <w:pPr>
              <w:spacing w:after="0" w:line="257" w:lineRule="auto"/>
              <w:jc w:val="center"/>
            </w:pPr>
            <w:r>
              <w:rPr>
                <w:rFonts w:ascii="Cambria" w:hAnsi="Cambria"/>
                <w:b/>
                <w:sz w:val="21"/>
              </w:rPr>
              <w:t>1847 to 1850</w:t>
            </w:r>
          </w:p>
        </w:tc>
        <w:tc>
          <w:tcPr>
            <w:tcW w:type="dxa" w:w="7992"/>
            <w:vAlign w:val="center"/>
            <w:shd w:fill="FFFFFF"/>
          </w:tcPr>
          <w:p>
            <w:pPr>
              <w:spacing w:after="0" w:line="257" w:lineRule="auto"/>
              <w:jc w:val="left"/>
            </w:pPr>
            <w:r>
              <w:rPr>
                <w:rFonts w:ascii="Cambria" w:hAnsi="Cambria"/>
                <w:sz w:val="21"/>
              </w:rPr>
              <w:t>The Whitman killings and Cayuse War increase conflict and American pressure in the region. [9]</w:t>
            </w:r>
          </w:p>
        </w:tc>
      </w:tr>
      <w:tr>
        <w:trPr>
          <w:cantSplit/>
        </w:trPr>
        <w:tc>
          <w:tcPr>
            <w:tcW w:type="dxa" w:w="1944"/>
            <w:vAlign w:val="center"/>
            <w:shd w:fill="F0F4F6"/>
          </w:tcPr>
          <w:p>
            <w:pPr>
              <w:spacing w:after="0" w:line="257" w:lineRule="auto"/>
              <w:jc w:val="center"/>
            </w:pPr>
            <w:r>
              <w:rPr>
                <w:rFonts w:ascii="Cambria" w:hAnsi="Cambria"/>
                <w:b/>
                <w:sz w:val="21"/>
              </w:rPr>
              <w:t>June 9 1855</w:t>
            </w:r>
          </w:p>
        </w:tc>
        <w:tc>
          <w:tcPr>
            <w:tcW w:type="dxa" w:w="7992"/>
            <w:vAlign w:val="center"/>
            <w:shd w:fill="F0F4F6"/>
          </w:tcPr>
          <w:p>
            <w:pPr>
              <w:spacing w:after="0" w:line="257" w:lineRule="auto"/>
              <w:jc w:val="left"/>
            </w:pPr>
            <w:r>
              <w:rPr>
                <w:rFonts w:ascii="Cambria" w:hAnsi="Cambria"/>
                <w:sz w:val="21"/>
              </w:rPr>
              <w:t>Walla Walla, Cayuse and Umatilla representatives sign a treaty reserving a homeland and important resource rights. [11]</w:t>
            </w:r>
          </w:p>
        </w:tc>
      </w:tr>
      <w:tr>
        <w:trPr>
          <w:cantSplit/>
        </w:trPr>
        <w:tc>
          <w:tcPr>
            <w:tcW w:type="dxa" w:w="1944"/>
            <w:vAlign w:val="center"/>
            <w:shd w:fill="FFFFFF"/>
          </w:tcPr>
          <w:p>
            <w:pPr>
              <w:spacing w:after="0" w:line="257" w:lineRule="auto"/>
              <w:jc w:val="center"/>
            </w:pPr>
            <w:r>
              <w:rPr>
                <w:rFonts w:ascii="Cambria" w:hAnsi="Cambria"/>
                <w:b/>
                <w:sz w:val="21"/>
              </w:rPr>
              <w:t>1855 to 1858</w:t>
            </w:r>
          </w:p>
        </w:tc>
        <w:tc>
          <w:tcPr>
            <w:tcW w:type="dxa" w:w="7992"/>
            <w:vAlign w:val="center"/>
            <w:shd w:fill="FFFFFF"/>
          </w:tcPr>
          <w:p>
            <w:pPr>
              <w:spacing w:after="0" w:line="257" w:lineRule="auto"/>
              <w:jc w:val="left"/>
            </w:pPr>
            <w:r>
              <w:rPr>
                <w:rFonts w:ascii="Cambria" w:hAnsi="Cambria"/>
                <w:sz w:val="21"/>
              </w:rPr>
              <w:t>War following the regional treaty councils helps force resistant Plateau communities onto reservations. [12]</w:t>
            </w:r>
          </w:p>
        </w:tc>
      </w:tr>
      <w:tr>
        <w:trPr>
          <w:cantSplit/>
        </w:trPr>
        <w:tc>
          <w:tcPr>
            <w:tcW w:type="dxa" w:w="1944"/>
            <w:vAlign w:val="center"/>
            <w:shd w:fill="F0F4F6"/>
          </w:tcPr>
          <w:p>
            <w:pPr>
              <w:spacing w:after="0" w:line="257" w:lineRule="auto"/>
              <w:jc w:val="center"/>
            </w:pPr>
            <w:r>
              <w:rPr>
                <w:rFonts w:ascii="Cambria" w:hAnsi="Cambria"/>
                <w:b/>
                <w:sz w:val="21"/>
              </w:rPr>
              <w:t>March 8 1859</w:t>
            </w:r>
          </w:p>
        </w:tc>
        <w:tc>
          <w:tcPr>
            <w:tcW w:type="dxa" w:w="7992"/>
            <w:vAlign w:val="center"/>
            <w:shd w:fill="F0F4F6"/>
          </w:tcPr>
          <w:p>
            <w:pPr>
              <w:spacing w:after="0" w:line="257" w:lineRule="auto"/>
              <w:jc w:val="left"/>
            </w:pPr>
            <w:r>
              <w:rPr>
                <w:rFonts w:ascii="Cambria" w:hAnsi="Cambria"/>
                <w:sz w:val="21"/>
              </w:rPr>
              <w:t>The 1855 treaty is formally ratified. [11]</w:t>
            </w:r>
          </w:p>
        </w:tc>
      </w:tr>
      <w:tr>
        <w:trPr>
          <w:cantSplit/>
        </w:trPr>
        <w:tc>
          <w:tcPr>
            <w:tcW w:type="dxa" w:w="1944"/>
            <w:vAlign w:val="center"/>
            <w:shd w:fill="FFFFFF"/>
          </w:tcPr>
          <w:p>
            <w:pPr>
              <w:spacing w:after="0" w:line="257" w:lineRule="auto"/>
              <w:jc w:val="center"/>
            </w:pPr>
            <w:r>
              <w:rPr>
                <w:rFonts w:ascii="Cambria" w:hAnsi="Cambria"/>
                <w:b/>
                <w:sz w:val="21"/>
              </w:rPr>
              <w:t>1883</w:t>
            </w:r>
          </w:p>
        </w:tc>
        <w:tc>
          <w:tcPr>
            <w:tcW w:type="dxa" w:w="7992"/>
            <w:vAlign w:val="center"/>
            <w:shd w:fill="FFFFFF"/>
          </w:tcPr>
          <w:p>
            <w:pPr>
              <w:spacing w:after="0" w:line="257" w:lineRule="auto"/>
              <w:jc w:val="left"/>
            </w:pPr>
            <w:r>
              <w:rPr>
                <w:rFonts w:ascii="Cambria" w:hAnsi="Cambria"/>
                <w:sz w:val="21"/>
              </w:rPr>
              <w:t>The Umatilla boarding school is completed amid debates over education and religious control. [13]</w:t>
            </w:r>
          </w:p>
        </w:tc>
      </w:tr>
      <w:tr>
        <w:trPr>
          <w:cantSplit/>
        </w:trPr>
        <w:tc>
          <w:tcPr>
            <w:tcW w:type="dxa" w:w="1944"/>
            <w:vAlign w:val="center"/>
            <w:shd w:fill="F0F4F6"/>
          </w:tcPr>
          <w:p>
            <w:pPr>
              <w:spacing w:after="0" w:line="257" w:lineRule="auto"/>
              <w:jc w:val="center"/>
            </w:pPr>
            <w:r>
              <w:rPr>
                <w:rFonts w:ascii="Cambria" w:hAnsi="Cambria"/>
                <w:b/>
                <w:sz w:val="21"/>
              </w:rPr>
              <w:t>1885 and 1888</w:t>
            </w:r>
          </w:p>
        </w:tc>
        <w:tc>
          <w:tcPr>
            <w:tcW w:type="dxa" w:w="7992"/>
            <w:vAlign w:val="center"/>
            <w:shd w:fill="F0F4F6"/>
          </w:tcPr>
          <w:p>
            <w:pPr>
              <w:spacing w:after="0" w:line="257" w:lineRule="auto"/>
              <w:jc w:val="left"/>
            </w:pPr>
            <w:r>
              <w:rPr>
                <w:rFonts w:ascii="Cambria" w:hAnsi="Cambria"/>
                <w:sz w:val="21"/>
              </w:rPr>
              <w:t>Umatilla allotment legislation and further land reduction weaken the reservation land base. [12]</w:t>
            </w:r>
          </w:p>
        </w:tc>
      </w:tr>
      <w:tr>
        <w:trPr>
          <w:cantSplit/>
        </w:trPr>
        <w:tc>
          <w:tcPr>
            <w:tcW w:type="dxa" w:w="1944"/>
            <w:vAlign w:val="center"/>
            <w:shd w:fill="FFFFFF"/>
          </w:tcPr>
          <w:p>
            <w:pPr>
              <w:spacing w:after="0" w:line="257" w:lineRule="auto"/>
              <w:jc w:val="center"/>
            </w:pPr>
            <w:r>
              <w:rPr>
                <w:rFonts w:ascii="Cambria" w:hAnsi="Cambria"/>
                <w:b/>
                <w:sz w:val="21"/>
              </w:rPr>
              <w:t>1949</w:t>
            </w:r>
          </w:p>
        </w:tc>
        <w:tc>
          <w:tcPr>
            <w:tcW w:type="dxa" w:w="7992"/>
            <w:vAlign w:val="center"/>
            <w:shd w:fill="FFFFFF"/>
          </w:tcPr>
          <w:p>
            <w:pPr>
              <w:spacing w:after="0" w:line="257" w:lineRule="auto"/>
              <w:jc w:val="left"/>
            </w:pPr>
            <w:r>
              <w:rPr>
                <w:rFonts w:ascii="Cambria" w:hAnsi="Cambria"/>
                <w:sz w:val="21"/>
              </w:rPr>
              <w:t>A constitution and bylaws establish CTUIR's modern elected government. [1]</w:t>
            </w:r>
          </w:p>
        </w:tc>
      </w:tr>
      <w:tr>
        <w:trPr>
          <w:cantSplit/>
        </w:trPr>
        <w:tc>
          <w:tcPr>
            <w:tcW w:type="dxa" w:w="1944"/>
            <w:vAlign w:val="center"/>
            <w:shd w:fill="F0F4F6"/>
          </w:tcPr>
          <w:p>
            <w:pPr>
              <w:spacing w:after="0" w:line="257" w:lineRule="auto"/>
              <w:jc w:val="center"/>
            </w:pPr>
            <w:r>
              <w:rPr>
                <w:rFonts w:ascii="Cambria" w:hAnsi="Cambria"/>
                <w:b/>
                <w:sz w:val="21"/>
              </w:rPr>
              <w:t>March 10 1957</w:t>
            </w:r>
          </w:p>
        </w:tc>
        <w:tc>
          <w:tcPr>
            <w:tcW w:type="dxa" w:w="7992"/>
            <w:vAlign w:val="center"/>
            <w:shd w:fill="F0F4F6"/>
          </w:tcPr>
          <w:p>
            <w:pPr>
              <w:spacing w:after="0" w:line="257" w:lineRule="auto"/>
              <w:jc w:val="left"/>
            </w:pPr>
            <w:r>
              <w:rPr>
                <w:rFonts w:ascii="Cambria" w:hAnsi="Cambria"/>
                <w:sz w:val="21"/>
              </w:rPr>
              <w:t>The Dalles Dam inundates Celilo Falls and its major salmon fishery. [14]</w:t>
            </w:r>
          </w:p>
        </w:tc>
      </w:tr>
      <w:tr>
        <w:trPr>
          <w:cantSplit/>
        </w:trPr>
        <w:tc>
          <w:tcPr>
            <w:tcW w:type="dxa" w:w="1944"/>
            <w:vAlign w:val="center"/>
            <w:shd w:fill="FFFFFF"/>
          </w:tcPr>
          <w:p>
            <w:pPr>
              <w:spacing w:after="0" w:line="257" w:lineRule="auto"/>
              <w:jc w:val="center"/>
            </w:pPr>
            <w:r>
              <w:rPr>
                <w:rFonts w:ascii="Cambria" w:hAnsi="Cambria"/>
                <w:b/>
                <w:sz w:val="21"/>
              </w:rPr>
              <w:t>1969</w:t>
            </w:r>
          </w:p>
        </w:tc>
        <w:tc>
          <w:tcPr>
            <w:tcW w:type="dxa" w:w="7992"/>
            <w:vAlign w:val="center"/>
            <w:shd w:fill="FFFFFF"/>
          </w:tcPr>
          <w:p>
            <w:pPr>
              <w:spacing w:after="0" w:line="257" w:lineRule="auto"/>
              <w:jc w:val="left"/>
            </w:pPr>
            <w:r>
              <w:rPr>
                <w:rFonts w:ascii="Cambria" w:hAnsi="Cambria"/>
                <w:sz w:val="21"/>
              </w:rPr>
              <w:t>The Belloni decision strengthens protection of Columbia River treaty fishing rights. [15]</w:t>
            </w:r>
          </w:p>
        </w:tc>
      </w:tr>
      <w:tr>
        <w:trPr>
          <w:cantSplit/>
        </w:trPr>
        <w:tc>
          <w:tcPr>
            <w:tcW w:type="dxa" w:w="1944"/>
            <w:vAlign w:val="center"/>
            <w:shd w:fill="F0F4F6"/>
          </w:tcPr>
          <w:p>
            <w:pPr>
              <w:spacing w:after="0" w:line="257" w:lineRule="auto"/>
              <w:jc w:val="center"/>
            </w:pPr>
            <w:r>
              <w:rPr>
                <w:rFonts w:ascii="Cambria" w:hAnsi="Cambria"/>
                <w:b/>
                <w:sz w:val="21"/>
              </w:rPr>
              <w:t>1977</w:t>
            </w:r>
          </w:p>
        </w:tc>
        <w:tc>
          <w:tcPr>
            <w:tcW w:type="dxa" w:w="7992"/>
            <w:vAlign w:val="center"/>
            <w:shd w:fill="F0F4F6"/>
          </w:tcPr>
          <w:p>
            <w:pPr>
              <w:spacing w:after="0" w:line="257" w:lineRule="auto"/>
              <w:jc w:val="left"/>
            </w:pPr>
            <w:r>
              <w:rPr>
                <w:rFonts w:ascii="Cambria" w:hAnsi="Cambria"/>
                <w:sz w:val="21"/>
              </w:rPr>
              <w:t>CTUIR joins Yakama, Warm Springs and Nez Perce governments to form CRITFC. [15]</w:t>
            </w:r>
          </w:p>
        </w:tc>
      </w:tr>
      <w:tr>
        <w:trPr>
          <w:cantSplit/>
        </w:trPr>
        <w:tc>
          <w:tcPr>
            <w:tcW w:type="dxa" w:w="1944"/>
            <w:vAlign w:val="center"/>
            <w:shd w:fill="FFFFFF"/>
          </w:tcPr>
          <w:p>
            <w:pPr>
              <w:spacing w:after="0" w:line="257" w:lineRule="auto"/>
              <w:jc w:val="center"/>
            </w:pPr>
            <w:r>
              <w:rPr>
                <w:rFonts w:ascii="Cambria" w:hAnsi="Cambria"/>
                <w:b/>
                <w:sz w:val="21"/>
              </w:rPr>
              <w:t>1982 to 1986</w:t>
            </w:r>
          </w:p>
        </w:tc>
        <w:tc>
          <w:tcPr>
            <w:tcW w:type="dxa" w:w="7992"/>
            <w:vAlign w:val="center"/>
            <w:shd w:fill="FFFFFF"/>
          </w:tcPr>
          <w:p>
            <w:pPr>
              <w:spacing w:after="0" w:line="257" w:lineRule="auto"/>
              <w:jc w:val="left"/>
            </w:pPr>
            <w:r>
              <w:rPr>
                <w:rFonts w:ascii="Cambria" w:hAnsi="Cambria"/>
                <w:sz w:val="21"/>
              </w:rPr>
              <w:t>Fall and spring Chinook reintroductions advance the effort to rebuild Umatilla River runs. [16]</w:t>
            </w:r>
          </w:p>
        </w:tc>
      </w:tr>
      <w:tr>
        <w:trPr>
          <w:cantSplit/>
        </w:trPr>
        <w:tc>
          <w:tcPr>
            <w:tcW w:type="dxa" w:w="1944"/>
            <w:vAlign w:val="center"/>
            <w:shd w:fill="F0F4F6"/>
          </w:tcPr>
          <w:p>
            <w:pPr>
              <w:spacing w:after="0" w:line="257" w:lineRule="auto"/>
              <w:jc w:val="center"/>
            </w:pPr>
            <w:r>
              <w:rPr>
                <w:rFonts w:ascii="Cambria" w:hAnsi="Cambria"/>
                <w:b/>
                <w:sz w:val="21"/>
              </w:rPr>
              <w:t>1988 and 1992</w:t>
            </w:r>
          </w:p>
        </w:tc>
        <w:tc>
          <w:tcPr>
            <w:tcW w:type="dxa" w:w="7992"/>
            <w:vAlign w:val="center"/>
            <w:shd w:fill="F0F4F6"/>
          </w:tcPr>
          <w:p>
            <w:pPr>
              <w:spacing w:after="0" w:line="257" w:lineRule="auto"/>
              <w:jc w:val="left"/>
            </w:pPr>
            <w:r>
              <w:rPr>
                <w:rFonts w:ascii="Cambria" w:hAnsi="Cambria"/>
                <w:sz w:val="21"/>
              </w:rPr>
              <w:t>Congress authorizes the Umatilla Basin Project and a later agreement advances the water exchange effort. [16]</w:t>
            </w:r>
          </w:p>
        </w:tc>
      </w:tr>
      <w:tr>
        <w:trPr>
          <w:cantSplit/>
        </w:trPr>
        <w:tc>
          <w:tcPr>
            <w:tcW w:type="dxa" w:w="1944"/>
            <w:vAlign w:val="center"/>
            <w:shd w:fill="FFFFFF"/>
          </w:tcPr>
          <w:p>
            <w:pPr>
              <w:spacing w:after="0" w:line="257" w:lineRule="auto"/>
              <w:jc w:val="center"/>
            </w:pPr>
            <w:r>
              <w:rPr>
                <w:rFonts w:ascii="Cambria" w:hAnsi="Cambria"/>
                <w:b/>
                <w:sz w:val="21"/>
              </w:rPr>
              <w:t>July 1998</w:t>
            </w:r>
          </w:p>
        </w:tc>
        <w:tc>
          <w:tcPr>
            <w:tcW w:type="dxa" w:w="7992"/>
            <w:vAlign w:val="center"/>
            <w:shd w:fill="FFFFFF"/>
          </w:tcPr>
          <w:p>
            <w:pPr>
              <w:spacing w:after="0" w:line="257" w:lineRule="auto"/>
              <w:jc w:val="left"/>
            </w:pPr>
            <w:r>
              <w:rPr>
                <w:rFonts w:ascii="Cambria" w:hAnsi="Cambria"/>
                <w:sz w:val="21"/>
              </w:rPr>
              <w:t>Tamastslikt Cultural Institute opens to present the history of the three peoples. [17]</w:t>
            </w:r>
          </w:p>
        </w:tc>
      </w:tr>
      <w:tr>
        <w:trPr>
          <w:cantSplit/>
        </w:trPr>
        <w:tc>
          <w:tcPr>
            <w:tcW w:type="dxa" w:w="1944"/>
            <w:vAlign w:val="center"/>
            <w:shd w:fill="F0F4F6"/>
          </w:tcPr>
          <w:p>
            <w:pPr>
              <w:spacing w:after="0" w:line="257" w:lineRule="auto"/>
              <w:jc w:val="center"/>
            </w:pPr>
            <w:r>
              <w:rPr>
                <w:rFonts w:ascii="Cambria" w:hAnsi="Cambria"/>
                <w:b/>
                <w:sz w:val="21"/>
              </w:rPr>
              <w:t>2006</w:t>
            </w:r>
          </w:p>
        </w:tc>
        <w:tc>
          <w:tcPr>
            <w:tcW w:type="dxa" w:w="7992"/>
            <w:vAlign w:val="center"/>
            <w:shd w:fill="F0F4F6"/>
          </w:tcPr>
          <w:p>
            <w:pPr>
              <w:spacing w:after="0" w:line="257" w:lineRule="auto"/>
              <w:jc w:val="left"/>
            </w:pPr>
            <w:r>
              <w:rPr>
                <w:rFonts w:ascii="Cambria" w:hAnsi="Cambria"/>
                <w:sz w:val="21"/>
              </w:rPr>
              <w:t>Tribally owned Cayuse Technologies opens on the reservation. [17]</w:t>
            </w:r>
          </w:p>
        </w:tc>
      </w:tr>
      <w:tr>
        <w:trPr>
          <w:cantSplit/>
        </w:trPr>
        <w:tc>
          <w:tcPr>
            <w:tcW w:type="dxa" w:w="1944"/>
            <w:vAlign w:val="center"/>
            <w:shd w:fill="FFFFFF"/>
          </w:tcPr>
          <w:p>
            <w:pPr>
              <w:spacing w:after="0" w:line="257" w:lineRule="auto"/>
              <w:jc w:val="center"/>
            </w:pPr>
            <w:r>
              <w:rPr>
                <w:rFonts w:ascii="Cambria" w:hAnsi="Cambria"/>
                <w:b/>
                <w:sz w:val="21"/>
              </w:rPr>
              <w:t>Today</w:t>
            </w:r>
          </w:p>
        </w:tc>
        <w:tc>
          <w:tcPr>
            <w:tcW w:type="dxa" w:w="7992"/>
            <w:vAlign w:val="center"/>
            <w:shd w:fill="FFFFFF"/>
          </w:tcPr>
          <w:p>
            <w:pPr>
              <w:spacing w:after="0" w:line="257" w:lineRule="auto"/>
              <w:jc w:val="left"/>
            </w:pPr>
            <w:r>
              <w:rPr>
                <w:rFonts w:ascii="Cambria" w:hAnsi="Cambria"/>
                <w:sz w:val="21"/>
              </w:rPr>
              <w:t>Language teaching, food traditions and tribal education continue alongside economic development and resource management. [6, 19]</w:t>
            </w:r>
          </w:p>
        </w:tc>
      </w:tr>
    </w:tbl>
    <w:p>
      <w:r>
        <w:br w:type="page"/>
      </w:r>
    </w:p>
    <w:p>
      <w:pPr>
        <w:pStyle w:val="Heading1"/>
      </w:pPr>
      <w:r>
        <w:t>Sources</w:t>
      </w:r>
    </w:p>
    <w:p>
      <w:r>
        <w:t>Numbers in brackets refer to the sources below. Tribal accounts provide community knowledge and institutional perspectives. The treaty is a primary legal text; the university publications and historical essays provide later interpretation. All links were opened and checked on October 21, 2026.</w:t>
      </w:r>
    </w:p>
    <w:p>
      <w:pPr>
        <w:keepNext/>
        <w:spacing w:before="140" w:after="40"/>
      </w:pPr>
      <w:r>
        <w:rPr>
          <w:b/>
          <w:sz w:val="21"/>
        </w:rPr>
        <w:t>[1] Confederated Tribes of the Umatilla Indian Reservation. About us.</w:t>
      </w:r>
    </w:p>
    <w:p>
      <w:pPr>
        <w:keepNext/>
        <w:spacing w:after="40"/>
      </w:pPr>
      <w:r>
        <w:rPr>
          <w:sz w:val="21"/>
        </w:rPr>
        <w:t>Tribal government overview.</w:t>
      </w:r>
    </w:p>
    <w:p>
      <w:pPr>
        <w:spacing w:after="120" w:line="252" w:lineRule="auto"/>
      </w:pPr>
      <w:hyperlink r:id="rId9">
        <w:r>
          <w:rPr>
            <w:color w:val="174E75"/>
            <w:sz w:val="20"/>
            <w:u w:val="single"/>
          </w:rPr>
          <w:t>https://ctuir.org/about</w:t>
        </w:r>
      </w:hyperlink>
    </w:p>
    <w:p>
      <w:pPr>
        <w:keepNext/>
        <w:spacing w:before="140" w:after="40"/>
      </w:pPr>
      <w:r>
        <w:rPr>
          <w:b/>
          <w:sz w:val="21"/>
        </w:rPr>
        <w:t>[2] Confederated Tribes of the Umatilla Indian Reservation. A Brief History of CTUIR.</w:t>
      </w:r>
    </w:p>
    <w:p>
      <w:pPr>
        <w:keepNext/>
        <w:spacing w:after="40"/>
      </w:pPr>
      <w:r>
        <w:rPr>
          <w:sz w:val="21"/>
        </w:rPr>
        <w:t>Tribal historical account and cultural knowledge.</w:t>
      </w:r>
    </w:p>
    <w:p>
      <w:pPr>
        <w:spacing w:after="120" w:line="252" w:lineRule="auto"/>
      </w:pPr>
      <w:hyperlink r:id="rId10">
        <w:r>
          <w:rPr>
            <w:color w:val="174E75"/>
            <w:sz w:val="20"/>
            <w:u w:val="single"/>
          </w:rPr>
          <w:t>https://ctuir.org/about/brief-history-of-ctuir/</w:t>
        </w:r>
      </w:hyperlink>
    </w:p>
    <w:p>
      <w:pPr>
        <w:keepNext/>
        <w:spacing w:before="140" w:after="40"/>
      </w:pPr>
      <w:r>
        <w:rPr>
          <w:b/>
          <w:sz w:val="21"/>
        </w:rPr>
        <w:t>[3] Columbia River Inter-Tribal Fish Commission. The Confederated Tribes of the Umatilla Indian Reservation.</w:t>
      </w:r>
    </w:p>
    <w:p>
      <w:pPr>
        <w:keepNext/>
        <w:spacing w:after="40"/>
      </w:pPr>
      <w:r>
        <w:rPr>
          <w:sz w:val="21"/>
        </w:rPr>
        <w:t>Intertribal institutional overview.</w:t>
      </w:r>
    </w:p>
    <w:p>
      <w:pPr>
        <w:spacing w:after="120" w:line="252" w:lineRule="auto"/>
      </w:pPr>
      <w:hyperlink r:id="rId11">
        <w:r>
          <w:rPr>
            <w:color w:val="174E75"/>
            <w:sz w:val="20"/>
            <w:u w:val="single"/>
          </w:rPr>
          <w:t>https://critfc.org/member-tribes-overview/the-confederated-tribes-of-the-umatilla-indian-reservation/</w:t>
        </w:r>
      </w:hyperlink>
    </w:p>
    <w:p>
      <w:pPr>
        <w:keepNext/>
        <w:spacing w:before="140" w:after="40"/>
      </w:pPr>
      <w:r>
        <w:rPr>
          <w:b/>
          <w:sz w:val="21"/>
        </w:rPr>
        <w:t>[4] Confederated Tribes of the Umatilla Indian Reservation. First Foods and Life Cycles.</w:t>
      </w:r>
    </w:p>
    <w:p>
      <w:pPr>
        <w:keepNext/>
        <w:spacing w:after="40"/>
      </w:pPr>
      <w:r>
        <w:rPr>
          <w:sz w:val="21"/>
        </w:rPr>
        <w:t>Tribal account of the seasonal food cycle.</w:t>
      </w:r>
    </w:p>
    <w:p>
      <w:pPr>
        <w:spacing w:after="120" w:line="252" w:lineRule="auto"/>
      </w:pPr>
      <w:hyperlink r:id="rId12">
        <w:r>
          <w:rPr>
            <w:color w:val="174E75"/>
            <w:sz w:val="20"/>
            <w:u w:val="single"/>
          </w:rPr>
          <w:t>https://ctuir.org/about/first-foods/</w:t>
        </w:r>
      </w:hyperlink>
    </w:p>
    <w:p>
      <w:pPr>
        <w:keepNext/>
        <w:spacing w:before="140" w:after="40"/>
      </w:pPr>
      <w:r>
        <w:rPr>
          <w:b/>
          <w:sz w:val="21"/>
        </w:rPr>
        <w:t>[5] James P. Ronda. Lewis and Clark among the Indians Chapter 7 Down the Columbia.</w:t>
      </w:r>
    </w:p>
    <w:p>
      <w:pPr>
        <w:keepNext/>
        <w:spacing w:after="40"/>
      </w:pPr>
      <w:r>
        <w:rPr>
          <w:sz w:val="21"/>
        </w:rPr>
        <w:t>Scholarly book published by the University of Nebraska Press in 1984 and hosted by the University of Nebraska Lincoln.</w:t>
      </w:r>
    </w:p>
    <w:p>
      <w:pPr>
        <w:spacing w:after="120" w:line="252" w:lineRule="auto"/>
      </w:pPr>
      <w:hyperlink r:id="rId13">
        <w:r>
          <w:rPr>
            <w:color w:val="174E75"/>
            <w:sz w:val="20"/>
            <w:u w:val="single"/>
          </w:rPr>
          <w:t>https://lewisandclarkjournals.unl.edu/item/lc.sup.ronda.01.07</w:t>
        </w:r>
      </w:hyperlink>
    </w:p>
    <w:p>
      <w:pPr>
        <w:keepNext/>
        <w:spacing w:before="140" w:after="40"/>
      </w:pPr>
      <w:r>
        <w:rPr>
          <w:b/>
          <w:sz w:val="21"/>
        </w:rPr>
        <w:t>[6] Confederated Tribes of the Umatilla Indian Reservation. The Language of Nixyaawii.</w:t>
      </w:r>
    </w:p>
    <w:p>
      <w:pPr>
        <w:keepNext/>
        <w:spacing w:after="40"/>
      </w:pPr>
      <w:r>
        <w:rPr>
          <w:sz w:val="21"/>
        </w:rPr>
        <w:t>Tribal language program overview.</w:t>
      </w:r>
    </w:p>
    <w:p>
      <w:pPr>
        <w:spacing w:after="120" w:line="252" w:lineRule="auto"/>
      </w:pPr>
      <w:hyperlink r:id="rId14">
        <w:r>
          <w:rPr>
            <w:color w:val="174E75"/>
            <w:sz w:val="20"/>
            <w:u w:val="single"/>
          </w:rPr>
          <w:t>https://ctuir.org/about/language/</w:t>
        </w:r>
      </w:hyperlink>
    </w:p>
    <w:p>
      <w:pPr>
        <w:keepNext/>
        <w:spacing w:before="140" w:after="40"/>
      </w:pPr>
      <w:r>
        <w:rPr>
          <w:b/>
          <w:sz w:val="21"/>
        </w:rPr>
        <w:t>[7] Confederated Tribes of the Umatilla Indian Reservation. History and Culture.</w:t>
      </w:r>
    </w:p>
    <w:p>
      <w:pPr>
        <w:keepNext/>
        <w:spacing w:after="40"/>
      </w:pPr>
      <w:r>
        <w:rPr>
          <w:sz w:val="21"/>
        </w:rPr>
        <w:t>Tribal account of identity and religious continuity.</w:t>
      </w:r>
    </w:p>
    <w:p>
      <w:pPr>
        <w:spacing w:after="120" w:line="252" w:lineRule="auto"/>
      </w:pPr>
      <w:hyperlink r:id="rId15">
        <w:r>
          <w:rPr>
            <w:color w:val="174E75"/>
            <w:sz w:val="20"/>
            <w:u w:val="single"/>
          </w:rPr>
          <w:t>https://ctuir.org/about/history-culture</w:t>
        </w:r>
      </w:hyperlink>
    </w:p>
    <w:p>
      <w:pPr>
        <w:keepNext/>
        <w:spacing w:before="140" w:after="40"/>
      </w:pPr>
      <w:r>
        <w:rPr>
          <w:b/>
          <w:sz w:val="21"/>
        </w:rPr>
        <w:t>[8] Krista L. Jones, Geoffrey C. Poole, Eric J. Quaempts, Scott O'Daniel and Tim Beechie. The Umatilla River Vision.</w:t>
      </w:r>
    </w:p>
    <w:p>
      <w:pPr>
        <w:keepNext/>
        <w:spacing w:after="40"/>
      </w:pPr>
      <w:r>
        <w:rPr>
          <w:sz w:val="21"/>
        </w:rPr>
        <w:t>CTUIR scientific and cultural management report from 2008 revised in 2011.</w:t>
      </w:r>
    </w:p>
    <w:p>
      <w:pPr>
        <w:spacing w:after="120" w:line="252" w:lineRule="auto"/>
      </w:pPr>
      <w:hyperlink r:id="rId16">
        <w:r>
          <w:rPr>
            <w:color w:val="174E75"/>
            <w:sz w:val="20"/>
            <w:u w:val="single"/>
          </w:rPr>
          <w:t>https://ctuir.org/media/25chgmwn/ctuir-dnr-umatilla-river-vision-v2-051811.pdf</w:t>
        </w:r>
      </w:hyperlink>
    </w:p>
    <w:p>
      <w:pPr>
        <w:keepNext/>
        <w:spacing w:before="140" w:after="40"/>
      </w:pPr>
      <w:r>
        <w:rPr>
          <w:b/>
          <w:sz w:val="21"/>
        </w:rPr>
        <w:t>[9] Cameron Addis. Whitman Murders.</w:t>
      </w:r>
    </w:p>
    <w:p>
      <w:pPr>
        <w:keepNext/>
        <w:spacing w:after="40"/>
      </w:pPr>
      <w:r>
        <w:rPr>
          <w:sz w:val="21"/>
        </w:rPr>
        <w:t>Historical interpretation in The Oregon Encyclopedia published by the Oregon Historical Society.</w:t>
      </w:r>
    </w:p>
    <w:p>
      <w:pPr>
        <w:spacing w:after="120" w:line="252" w:lineRule="auto"/>
      </w:pPr>
      <w:hyperlink r:id="rId17">
        <w:r>
          <w:rPr>
            <w:color w:val="174E75"/>
            <w:sz w:val="20"/>
            <w:u w:val="single"/>
          </w:rPr>
          <w:t>https://www.oregonencyclopedia.org/articles/whitman_massacre/</w:t>
        </w:r>
      </w:hyperlink>
    </w:p>
    <w:p>
      <w:pPr>
        <w:keepNext/>
        <w:spacing w:before="140" w:after="40"/>
      </w:pPr>
      <w:r>
        <w:rPr>
          <w:b/>
          <w:sz w:val="21"/>
        </w:rPr>
        <w:t>[10] Cliff Trafzer. Walla Walla Treaty Council 1855.</w:t>
      </w:r>
    </w:p>
    <w:p>
      <w:pPr>
        <w:keepNext/>
        <w:spacing w:after="40"/>
      </w:pPr>
      <w:r>
        <w:rPr>
          <w:sz w:val="21"/>
        </w:rPr>
        <w:t>Scholarly historical interpretation in The Oregon Encyclopedia.</w:t>
      </w:r>
    </w:p>
    <w:p>
      <w:pPr>
        <w:spacing w:after="120" w:line="252" w:lineRule="auto"/>
      </w:pPr>
      <w:hyperlink r:id="rId18">
        <w:r>
          <w:rPr>
            <w:color w:val="174E75"/>
            <w:sz w:val="20"/>
            <w:u w:val="single"/>
          </w:rPr>
          <w:t>https://www.oregonencyclopedia.org/articles/walla_walla_treaty_council_1855/</w:t>
        </w:r>
      </w:hyperlink>
    </w:p>
    <w:p>
      <w:pPr>
        <w:keepNext/>
        <w:spacing w:before="140" w:after="40"/>
      </w:pPr>
      <w:r>
        <w:rPr>
          <w:b/>
          <w:sz w:val="21"/>
        </w:rPr>
        <w:t>[11] United States and Walla Walla Cayuse and Umatilla treaty representatives. Treaty with the Wallawalla Cayuse etc 1855.</w:t>
      </w:r>
    </w:p>
    <w:p>
      <w:pPr>
        <w:keepNext/>
        <w:spacing w:after="40"/>
      </w:pPr>
      <w:r>
        <w:rPr>
          <w:sz w:val="21"/>
        </w:rPr>
        <w:t>Primary federal treaty preserved in a later edited transcription at Oklahoma State University.</w:t>
      </w:r>
    </w:p>
    <w:p>
      <w:pPr>
        <w:spacing w:after="120" w:line="252" w:lineRule="auto"/>
      </w:pPr>
      <w:hyperlink r:id="rId19">
        <w:r>
          <w:rPr>
            <w:color w:val="174E75"/>
            <w:sz w:val="20"/>
            <w:u w:val="single"/>
          </w:rPr>
          <w:t>https://treaties.okstate.edu/treaties/treaty-with-the-wallawalla-cayuse-etc-1855-0694</w:t>
        </w:r>
      </w:hyperlink>
    </w:p>
    <w:p>
      <w:pPr>
        <w:keepNext/>
        <w:spacing w:before="140" w:after="40"/>
      </w:pPr>
      <w:r>
        <w:rPr>
          <w:b/>
          <w:sz w:val="21"/>
        </w:rPr>
        <w:t>[12] Cliff Trafzer. Native American Treaties Northeastern Oregon.</w:t>
      </w:r>
    </w:p>
    <w:p>
      <w:pPr>
        <w:keepNext/>
        <w:spacing w:after="40"/>
      </w:pPr>
      <w:r>
        <w:rPr>
          <w:sz w:val="21"/>
        </w:rPr>
        <w:t>Scholarly historical interpretation in The Oregon Encyclopedia.</w:t>
      </w:r>
    </w:p>
    <w:p>
      <w:pPr>
        <w:spacing w:after="120" w:line="252" w:lineRule="auto"/>
      </w:pPr>
      <w:hyperlink r:id="rId20">
        <w:r>
          <w:rPr>
            <w:color w:val="174E75"/>
            <w:sz w:val="20"/>
            <w:u w:val="single"/>
          </w:rPr>
          <w:t>https://www.oregonencyclopedia.org/articles/native_american_treaties_eastern_oregon/</w:t>
        </w:r>
      </w:hyperlink>
    </w:p>
    <w:p>
      <w:pPr>
        <w:keepNext/>
        <w:spacing w:before="140" w:after="40"/>
      </w:pPr>
      <w:r>
        <w:rPr>
          <w:b/>
          <w:sz w:val="21"/>
        </w:rPr>
        <w:t>[13] Patrick Stephen Lozar. An Anxious Desire of Self Preservation Colonialism Transition and Identity on the Umatilla Indian Reservation 1860 to 1910.</w:t>
      </w:r>
    </w:p>
    <w:p>
      <w:pPr>
        <w:keepNext/>
        <w:spacing w:after="40"/>
      </w:pPr>
      <w:r>
        <w:rPr>
          <w:sz w:val="21"/>
        </w:rPr>
        <w:t>University of Oregon master's thesis from 2013 especially its discussion of education and adaptive resistance.</w:t>
      </w:r>
    </w:p>
    <w:p>
      <w:pPr>
        <w:spacing w:after="120" w:line="252" w:lineRule="auto"/>
      </w:pPr>
      <w:hyperlink r:id="rId21">
        <w:r>
          <w:rPr>
            <w:color w:val="174E75"/>
            <w:sz w:val="20"/>
            <w:u w:val="single"/>
          </w:rPr>
          <w:t>https://scholarsbank.uoregon.edu/bitstreams/b39d9459-1bc7-44d8-8eeb-207293fe928e/download</w:t>
        </w:r>
      </w:hyperlink>
    </w:p>
    <w:p>
      <w:pPr>
        <w:keepNext/>
        <w:spacing w:before="140" w:after="40"/>
      </w:pPr>
      <w:r>
        <w:rPr>
          <w:b/>
          <w:sz w:val="21"/>
        </w:rPr>
        <w:t>[14] Columbia River Inter-Tribal Fish Commission. Celilo Falls.</w:t>
      </w:r>
    </w:p>
    <w:p>
      <w:pPr>
        <w:keepNext/>
        <w:spacing w:after="40"/>
      </w:pPr>
      <w:r>
        <w:rPr>
          <w:sz w:val="21"/>
        </w:rPr>
        <w:t>Intertribal historical account of fishing trade and inundation.</w:t>
      </w:r>
    </w:p>
    <w:p>
      <w:pPr>
        <w:spacing w:after="120" w:line="252" w:lineRule="auto"/>
      </w:pPr>
      <w:hyperlink r:id="rId22">
        <w:r>
          <w:rPr>
            <w:color w:val="174E75"/>
            <w:sz w:val="20"/>
            <w:u w:val="single"/>
          </w:rPr>
          <w:t>https://critfc.org/salmon-culture/tribal-salmon-culture/celilo-falls/</w:t>
        </w:r>
      </w:hyperlink>
    </w:p>
    <w:p>
      <w:pPr>
        <w:keepNext/>
        <w:spacing w:before="140" w:after="40"/>
      </w:pPr>
      <w:r>
        <w:rPr>
          <w:b/>
          <w:sz w:val="21"/>
        </w:rPr>
        <w:t>[15] Columbia River Inter-Tribal Fish Commission. Fisheries Timeline.</w:t>
      </w:r>
    </w:p>
    <w:p>
      <w:pPr>
        <w:keepNext/>
        <w:spacing w:after="40"/>
      </w:pPr>
      <w:r>
        <w:rPr>
          <w:sz w:val="21"/>
        </w:rPr>
        <w:t>Institutional chronology of treaty fishing litigation and management.</w:t>
      </w:r>
    </w:p>
    <w:p>
      <w:pPr>
        <w:spacing w:after="120" w:line="252" w:lineRule="auto"/>
      </w:pPr>
      <w:hyperlink r:id="rId23">
        <w:r>
          <w:rPr>
            <w:color w:val="174E75"/>
            <w:sz w:val="20"/>
            <w:u w:val="single"/>
          </w:rPr>
          <w:t>https://critfc.org/about-us/fisheries-timeline/</w:t>
        </w:r>
      </w:hyperlink>
    </w:p>
    <w:p>
      <w:pPr>
        <w:keepNext/>
        <w:spacing w:before="140" w:after="40"/>
      </w:pPr>
      <w:r>
        <w:rPr>
          <w:b/>
          <w:sz w:val="21"/>
        </w:rPr>
        <w:t>[16] John Harrison. Umatilla River.</w:t>
      </w:r>
    </w:p>
    <w:p>
      <w:pPr>
        <w:keepNext/>
        <w:spacing w:after="40"/>
      </w:pPr>
      <w:r>
        <w:rPr>
          <w:sz w:val="21"/>
        </w:rPr>
        <w:t>Historical and environmental interpretation in The Oregon Encyclopedia.</w:t>
      </w:r>
    </w:p>
    <w:p>
      <w:pPr>
        <w:spacing w:after="120" w:line="252" w:lineRule="auto"/>
      </w:pPr>
      <w:hyperlink r:id="rId24">
        <w:r>
          <w:rPr>
            <w:color w:val="174E75"/>
            <w:sz w:val="20"/>
            <w:u w:val="single"/>
          </w:rPr>
          <w:t>https://www.oregonencyclopedia.org/articles/umatilla_river/</w:t>
        </w:r>
      </w:hyperlink>
    </w:p>
    <w:p>
      <w:pPr>
        <w:keepNext/>
        <w:spacing w:before="140" w:after="40"/>
      </w:pPr>
      <w:r>
        <w:rPr>
          <w:b/>
          <w:sz w:val="21"/>
        </w:rPr>
        <w:t>[17] Confederated Tribes of the Umatilla Indian Reservation. Tribal Enterprises.</w:t>
      </w:r>
    </w:p>
    <w:p>
      <w:pPr>
        <w:keepNext/>
        <w:spacing w:after="40"/>
      </w:pPr>
      <w:r>
        <w:rPr>
          <w:sz w:val="21"/>
        </w:rPr>
        <w:t>Tribal account of economic development.</w:t>
      </w:r>
    </w:p>
    <w:p>
      <w:pPr>
        <w:spacing w:after="120" w:line="252" w:lineRule="auto"/>
      </w:pPr>
      <w:hyperlink r:id="rId25">
        <w:r>
          <w:rPr>
            <w:color w:val="174E75"/>
            <w:sz w:val="20"/>
            <w:u w:val="single"/>
          </w:rPr>
          <w:t>https://ctuir.org/tribal-enterprises</w:t>
        </w:r>
      </w:hyperlink>
    </w:p>
    <w:p>
      <w:pPr>
        <w:keepNext/>
        <w:spacing w:before="140" w:after="40"/>
      </w:pPr>
      <w:r>
        <w:rPr>
          <w:b/>
          <w:sz w:val="21"/>
        </w:rPr>
        <w:t>[18] Tamastslikt Cultural Institute. Our Story.</w:t>
      </w:r>
    </w:p>
    <w:p>
      <w:pPr>
        <w:keepNext/>
        <w:spacing w:after="40"/>
      </w:pPr>
      <w:r>
        <w:rPr>
          <w:sz w:val="21"/>
        </w:rPr>
        <w:t>Tribal museum account of its purpose and interpretation.</w:t>
      </w:r>
    </w:p>
    <w:p>
      <w:pPr>
        <w:spacing w:after="120" w:line="252" w:lineRule="auto"/>
      </w:pPr>
      <w:hyperlink r:id="rId26">
        <w:r>
          <w:rPr>
            <w:color w:val="174E75"/>
            <w:sz w:val="20"/>
            <w:u w:val="single"/>
          </w:rPr>
          <w:t>https://www.tamastslikt.org/about/</w:t>
        </w:r>
      </w:hyperlink>
    </w:p>
    <w:p>
      <w:pPr>
        <w:keepNext/>
        <w:spacing w:before="140" w:after="40"/>
      </w:pPr>
      <w:r>
        <w:rPr>
          <w:b/>
          <w:sz w:val="21"/>
        </w:rPr>
        <w:t>[19] Confederated Tribes of the Umatilla Indian Reservation. Education.</w:t>
      </w:r>
    </w:p>
    <w:p>
      <w:pPr>
        <w:keepNext/>
        <w:spacing w:after="40"/>
      </w:pPr>
      <w:r>
        <w:rPr>
          <w:sz w:val="21"/>
        </w:rPr>
        <w:t>Tribal statement of educational purpose and values.</w:t>
      </w:r>
    </w:p>
    <w:p>
      <w:pPr>
        <w:spacing w:after="120" w:line="252" w:lineRule="auto"/>
      </w:pPr>
      <w:hyperlink r:id="rId27">
        <w:r>
          <w:rPr>
            <w:color w:val="174E75"/>
            <w:sz w:val="20"/>
            <w:u w:val="single"/>
          </w:rPr>
          <w:t>https://ctuir.org/departments/education/</w:t>
        </w:r>
      </w:hyperlink>
    </w:p>
    <w:p>
      <w:pPr>
        <w:keepNext/>
        <w:spacing w:before="140" w:after="40"/>
      </w:pPr>
      <w:r>
        <w:rPr>
          <w:b/>
          <w:sz w:val="21"/>
        </w:rPr>
        <w:t>[20] National Park Service. Confluence of the Columbia and Walla Walla Rivers.</w:t>
      </w:r>
    </w:p>
    <w:p>
      <w:pPr>
        <w:keepNext/>
        <w:spacing w:after="40"/>
      </w:pPr>
      <w:r>
        <w:rPr>
          <w:sz w:val="21"/>
        </w:rPr>
        <w:t>Historical interpretation incorporating Tamastslikt director Bobbie Conner's perspective.</w:t>
      </w:r>
    </w:p>
    <w:p>
      <w:pPr>
        <w:spacing w:after="120" w:line="252" w:lineRule="auto"/>
      </w:pPr>
      <w:hyperlink r:id="rId28">
        <w:r>
          <w:rPr>
            <w:color w:val="174E75"/>
            <w:sz w:val="20"/>
            <w:u w:val="single"/>
          </w:rPr>
          <w:t>https://www.nps.gov/places/confluence-of-the-columbia-and-walla-walla-rivers.htm</w:t>
        </w:r>
      </w:hyperlink>
    </w:p>
    <w:sectPr w:rsidR="00FC693F" w:rsidRPr="0006063C" w:rsidSect="00034616">
      <w:footerReference w:type="default" r:id="rId29"/>
      <w:pgSz w:w="12240" w:h="15840"/>
      <w:pgMar w:top="1051" w:right="1152" w:bottom="965" w:left="1152"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64" w:lineRule="auto" w:after="12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asciiTheme="majorHAnsi" w:eastAsiaTheme="majorEastAsia" w:hAnsiTheme="majorHAnsi" w:cstheme="majorBidi" w:ascii="Cambria" w:hAnsi="Cambria"/>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60" w:after="140"/>
    </w:pPr>
    <w:rPr>
      <w:rFonts w:ascii="Cambria" w:hAnsi="Cambria"/>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tuir.org/about" TargetMode="External"/><Relationship Id="rId10" Type="http://schemas.openxmlformats.org/officeDocument/2006/relationships/hyperlink" Target="https://ctuir.org/about/brief-history-of-ctuir/" TargetMode="External"/><Relationship Id="rId11" Type="http://schemas.openxmlformats.org/officeDocument/2006/relationships/hyperlink" Target="https://critfc.org/member-tribes-overview/the-confederated-tribes-of-the-umatilla-indian-reservation/" TargetMode="External"/><Relationship Id="rId12" Type="http://schemas.openxmlformats.org/officeDocument/2006/relationships/hyperlink" Target="https://ctuir.org/about/first-foods/" TargetMode="External"/><Relationship Id="rId13" Type="http://schemas.openxmlformats.org/officeDocument/2006/relationships/hyperlink" Target="https://lewisandclarkjournals.unl.edu/item/lc.sup.ronda.01.07" TargetMode="External"/><Relationship Id="rId14" Type="http://schemas.openxmlformats.org/officeDocument/2006/relationships/hyperlink" Target="https://ctuir.org/about/language/" TargetMode="External"/><Relationship Id="rId15" Type="http://schemas.openxmlformats.org/officeDocument/2006/relationships/hyperlink" Target="https://ctuir.org/about/history-culture" TargetMode="External"/><Relationship Id="rId16" Type="http://schemas.openxmlformats.org/officeDocument/2006/relationships/hyperlink" Target="https://ctuir.org/media/25chgmwn/ctuir-dnr-umatilla-river-vision-v2-051811.pdf" TargetMode="External"/><Relationship Id="rId17" Type="http://schemas.openxmlformats.org/officeDocument/2006/relationships/hyperlink" Target="https://www.oregonencyclopedia.org/articles/whitman_massacre/" TargetMode="External"/><Relationship Id="rId18" Type="http://schemas.openxmlformats.org/officeDocument/2006/relationships/hyperlink" Target="https://www.oregonencyclopedia.org/articles/walla_walla_treaty_council_1855/" TargetMode="External"/><Relationship Id="rId19" Type="http://schemas.openxmlformats.org/officeDocument/2006/relationships/hyperlink" Target="https://treaties.okstate.edu/treaties/treaty-with-the-wallawalla-cayuse-etc-1855-0694" TargetMode="External"/><Relationship Id="rId20" Type="http://schemas.openxmlformats.org/officeDocument/2006/relationships/hyperlink" Target="https://www.oregonencyclopedia.org/articles/native_american_treaties_eastern_oregon/" TargetMode="External"/><Relationship Id="rId21" Type="http://schemas.openxmlformats.org/officeDocument/2006/relationships/hyperlink" Target="https://scholarsbank.uoregon.edu/bitstreams/b39d9459-1bc7-44d8-8eeb-207293fe928e/download" TargetMode="External"/><Relationship Id="rId22" Type="http://schemas.openxmlformats.org/officeDocument/2006/relationships/hyperlink" Target="https://critfc.org/salmon-culture/tribal-salmon-culture/celilo-falls/" TargetMode="External"/><Relationship Id="rId23" Type="http://schemas.openxmlformats.org/officeDocument/2006/relationships/hyperlink" Target="https://critfc.org/about-us/fisheries-timeline/" TargetMode="External"/><Relationship Id="rId24" Type="http://schemas.openxmlformats.org/officeDocument/2006/relationships/hyperlink" Target="https://www.oregonencyclopedia.org/articles/umatilla_river/" TargetMode="External"/><Relationship Id="rId25" Type="http://schemas.openxmlformats.org/officeDocument/2006/relationships/hyperlink" Target="https://ctuir.org/tribal-enterprises" TargetMode="External"/><Relationship Id="rId26" Type="http://schemas.openxmlformats.org/officeDocument/2006/relationships/hyperlink" Target="https://www.tamastslikt.org/about/" TargetMode="External"/><Relationship Id="rId27" Type="http://schemas.openxmlformats.org/officeDocument/2006/relationships/hyperlink" Target="https://ctuir.org/departments/education/" TargetMode="External"/><Relationship Id="rId28" Type="http://schemas.openxmlformats.org/officeDocument/2006/relationships/hyperlink" Target="https://www.nps.gov/places/confluence-of-the-columbia-and-walla-walla-rivers.htm" TargetMode="Externa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Umatilla Culture History and Timeline</dc:title>
  <dc:subject>Umatilla culture history and the Confederated Tribes of the Umatilla Indian Reservation</dc:subject>
  <dc:creator/>
  <cp:keywords>Umatilla, CTUIR, Columbia Plateau, Treaty of 1855</cp:keywords>
  <dc:description>generated by python-docx</dc:description>
  <cp:lastModifiedBy/>
  <cp:revision>1</cp:revision>
  <dcterms:created xsi:type="dcterms:W3CDTF">2013-12-23T23:15:00Z</dcterms:created>
  <dcterms:modified xsi:type="dcterms:W3CDTF">2013-12-23T23:15:00Z</dcterms:modified>
  <cp:category/>
</cp:coreProperties>
</file>