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Walla Walla History Culture and Timeline</w:t>
      </w:r>
    </w:p>
    <w:p>
      <w:pPr>
        <w:pStyle w:val="Heading1"/>
      </w:pPr>
      <w:r>
        <w:t>Who the Walla Walla people are</w:t>
      </w:r>
    </w:p>
    <w:p>
      <w:pPr>
        <w:keepLines/>
      </w:pPr>
      <w:r>
        <w:t>The Walla Walla are a Native people of the Columbia Plateau, with ancestral communities in what is now southeastern Washington and northeastern Oregon. Their lives have long been tied to the Columbia River and nearby waterways. Today the Walla Walla are one of the three peoples united in the Confederated Tribes of the Umatilla Indian Reservation, commonly called CTUIR, alongside the Cayuse and Umatilla. Each people retains its own heritage. [1, 19]</w:t>
      </w:r>
    </w:p>
    <w:p>
      <w:pPr>
        <w:keepLines/>
      </w:pPr>
      <w:r>
        <w:t>Walúulapam is a name used in CTUIR scholarship for the Walla Walla people. The tribal Umatilla dictionary also records Walawalałáma for Walla Walla people and Walawalałaamí sɨ́nwit for their language. These forms reflect different linguistic contexts and spelling conventions. [2, 12]</w:t>
      </w:r>
    </w:p>
    <w:p>
      <w:pPr>
        <w:keepLines/>
      </w:pPr>
      <w:r>
        <w:t>The CTUIR traces its peoples' presence in the Columbia River region back more than 10,000 years. Their history is rooted in oral traditions, ancestral places and continuing ties to the land. The modern confederated government grew from later treaty and constitutional arrangements. [1, 18]</w:t>
      </w:r>
    </w:p>
    <w:p>
      <w:pPr>
        <w:pStyle w:val="Heading1"/>
      </w:pPr>
      <w:r>
        <w:t>Homeland and language</w:t>
      </w:r>
    </w:p>
    <w:p>
      <w:pPr>
        <w:keepLines/>
      </w:pPr>
      <w:r>
        <w:t>Walla Walla communities lived around Wallula and the meeting places of the Columbia, Walla Walla, Snake and Yakima rivers. Rivers linked villages, fisheries and trade routes. The Blue Mountains supplied other seasonal resources. The valley also carries an Indigenous place name meaning the place of the balsamroot sunflower, connecting geography with a useful native plant. [4, 9]</w:t>
      </w:r>
    </w:p>
    <w:p>
      <w:pPr>
        <w:keepLines/>
      </w:pPr>
      <w:r>
        <w:t>Walla Walla belongs to Sahaptin. The CTUIR Language Program describes it as a northeastern Sahaptin dialect, while Umatilla is a southern dialect. The original Cayuse language was different. The Weyíiletpuu variety taught today is a Nez Perce dialect used by Cayuse people. These language histories help explain why the three peoples should be studied as related communities with distinct identities. [3]</w:t>
      </w:r>
    </w:p>
    <w:p>
      <w:pPr>
        <w:keepLines/>
      </w:pPr>
      <w:r>
        <w:t>The tribal language program records speakers, protects older language materials and teaches learners of different ages. This work preserves place names, family knowledge and ways of describing relationships with the land. Language renewal is an active part of community life. [3]</w:t>
      </w:r>
    </w:p>
    <w:p>
      <w:pPr>
        <w:pStyle w:val="Heading1"/>
      </w:pPr>
      <w:r>
        <w:t>Seasonal foods and daily work</w:t>
      </w:r>
    </w:p>
    <w:p>
      <w:pPr>
        <w:keepLines/>
      </w:pPr>
      <w:r>
        <w:t>Families followed a seasonal round, returning to known places as foods became available. They moved between river valleys and the mountains rather than depending on one crop or one settlement for everything. Drying fish, meat, roots and berries helped provide food through winter. [5]</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30"/>
        <w:gridCol w:w="3053"/>
        <w:gridCol w:w="4954"/>
      </w:tblGrid>
      <w:tr>
        <w:trPr>
          <w:cantSplit/>
          <w:tblHeader/>
        </w:trPr>
        <w:tc>
          <w:tcPr>
            <w:tcW w:type="dxa" w:w="1930"/>
            <w:vAlign w:val="center"/>
            <w:tcMar>
              <w:top w:w="90" w:type="dxa"/>
              <w:bottom w:w="90" w:type="dxa"/>
              <w:left w:w="100" w:type="dxa"/>
              <w:right w:w="100" w:type="dxa"/>
            </w:tcMar>
            <w:shd w:fill="E5EBF1"/>
          </w:tcPr>
          <w:p>
            <w:pPr>
              <w:spacing w:after="0" w:line="252" w:lineRule="auto"/>
              <w:jc w:val="center"/>
            </w:pPr>
            <w:r>
              <w:rPr>
                <w:b/>
                <w:color w:val="000000"/>
                <w:sz w:val="21"/>
              </w:rPr>
              <w:t>Season</w:t>
            </w:r>
          </w:p>
        </w:tc>
        <w:tc>
          <w:tcPr>
            <w:tcW w:type="dxa" w:w="3053"/>
            <w:vAlign w:val="center"/>
            <w:tcMar>
              <w:top w:w="90" w:type="dxa"/>
              <w:bottom w:w="90" w:type="dxa"/>
              <w:left w:w="100" w:type="dxa"/>
              <w:right w:w="100" w:type="dxa"/>
            </w:tcMar>
            <w:shd w:fill="E5EBF1"/>
          </w:tcPr>
          <w:p>
            <w:pPr>
              <w:spacing w:after="0" w:line="252" w:lineRule="auto"/>
            </w:pPr>
            <w:r>
              <w:rPr>
                <w:b/>
                <w:color w:val="000000"/>
                <w:sz w:val="21"/>
              </w:rPr>
              <w:t>Usual setting</w:t>
            </w:r>
          </w:p>
        </w:tc>
        <w:tc>
          <w:tcPr>
            <w:tcW w:type="dxa" w:w="4954"/>
            <w:vAlign w:val="center"/>
            <w:tcMar>
              <w:top w:w="90" w:type="dxa"/>
              <w:bottom w:w="90" w:type="dxa"/>
              <w:left w:w="100" w:type="dxa"/>
              <w:right w:w="100" w:type="dxa"/>
            </w:tcMar>
            <w:shd w:fill="E5EBF1"/>
          </w:tcPr>
          <w:p>
            <w:pPr>
              <w:spacing w:after="0" w:line="252" w:lineRule="auto"/>
            </w:pPr>
            <w:r>
              <w:rPr>
                <w:b/>
                <w:color w:val="000000"/>
                <w:sz w:val="21"/>
              </w:rPr>
              <w:t>Main work</w:t>
            </w:r>
          </w:p>
        </w:tc>
      </w:tr>
      <w:tr>
        <w:trPr>
          <w:cantSplit/>
        </w:trPr>
        <w:tc>
          <w:tcPr>
            <w:tcW w:type="dxa" w:w="1930"/>
            <w:vAlign w:val="center"/>
            <w:tcMar>
              <w:top w:w="90" w:type="dxa"/>
              <w:bottom w:w="90" w:type="dxa"/>
              <w:left w:w="100" w:type="dxa"/>
              <w:right w:w="100" w:type="dxa"/>
            </w:tcMar>
          </w:tcPr>
          <w:p>
            <w:pPr>
              <w:spacing w:after="0" w:line="252" w:lineRule="auto"/>
              <w:jc w:val="center"/>
            </w:pPr>
            <w:r>
              <w:rPr>
                <w:b w:val="0"/>
                <w:color w:val="000000"/>
                <w:sz w:val="21"/>
              </w:rPr>
              <w:t>Spring</w:t>
            </w:r>
          </w:p>
        </w:tc>
        <w:tc>
          <w:tcPr>
            <w:tcW w:type="dxa" w:w="3053"/>
            <w:vAlign w:val="center"/>
            <w:tcMar>
              <w:top w:w="90" w:type="dxa"/>
              <w:bottom w:w="90" w:type="dxa"/>
              <w:left w:w="100" w:type="dxa"/>
              <w:right w:w="100" w:type="dxa"/>
            </w:tcMar>
          </w:tcPr>
          <w:p>
            <w:pPr>
              <w:spacing w:after="0" w:line="252" w:lineRule="auto"/>
            </w:pPr>
            <w:r>
              <w:rPr>
                <w:b w:val="0"/>
                <w:color w:val="000000"/>
                <w:sz w:val="21"/>
              </w:rPr>
              <w:t>River fisheries including Celilo Falls</w:t>
            </w:r>
          </w:p>
        </w:tc>
        <w:tc>
          <w:tcPr>
            <w:tcW w:type="dxa" w:w="4954"/>
            <w:vAlign w:val="center"/>
            <w:tcMar>
              <w:top w:w="90" w:type="dxa"/>
              <w:bottom w:w="90" w:type="dxa"/>
              <w:left w:w="100" w:type="dxa"/>
              <w:right w:w="100" w:type="dxa"/>
            </w:tcMar>
          </w:tcPr>
          <w:p>
            <w:pPr>
              <w:spacing w:after="0" w:line="252" w:lineRule="auto"/>
            </w:pPr>
            <w:r>
              <w:rPr>
                <w:b w:val="0"/>
                <w:color w:val="000000"/>
                <w:sz w:val="21"/>
              </w:rPr>
              <w:t>Catch salmon, dry fish and trade</w:t>
            </w:r>
          </w:p>
        </w:tc>
      </w:tr>
      <w:tr>
        <w:trPr>
          <w:cantSplit/>
        </w:trPr>
        <w:tc>
          <w:tcPr>
            <w:tcW w:type="dxa" w:w="1930"/>
            <w:vAlign w:val="center"/>
            <w:tcMar>
              <w:top w:w="90" w:type="dxa"/>
              <w:bottom w:w="90" w:type="dxa"/>
              <w:left w:w="100" w:type="dxa"/>
              <w:right w:w="100" w:type="dxa"/>
            </w:tcMar>
          </w:tcPr>
          <w:p>
            <w:pPr>
              <w:spacing w:after="0" w:line="252" w:lineRule="auto"/>
              <w:jc w:val="center"/>
            </w:pPr>
            <w:r>
              <w:rPr>
                <w:b w:val="0"/>
                <w:color w:val="000000"/>
                <w:sz w:val="21"/>
              </w:rPr>
              <w:t>Late spring and early summer</w:t>
            </w:r>
          </w:p>
        </w:tc>
        <w:tc>
          <w:tcPr>
            <w:tcW w:type="dxa" w:w="3053"/>
            <w:vAlign w:val="center"/>
            <w:tcMar>
              <w:top w:w="90" w:type="dxa"/>
              <w:bottom w:w="90" w:type="dxa"/>
              <w:left w:w="100" w:type="dxa"/>
              <w:right w:w="100" w:type="dxa"/>
            </w:tcMar>
          </w:tcPr>
          <w:p>
            <w:pPr>
              <w:spacing w:after="0" w:line="252" w:lineRule="auto"/>
            </w:pPr>
            <w:r>
              <w:rPr>
                <w:b w:val="0"/>
                <w:color w:val="000000"/>
                <w:sz w:val="21"/>
              </w:rPr>
              <w:t>Foothills of the Blue Mountains</w:t>
            </w:r>
          </w:p>
        </w:tc>
        <w:tc>
          <w:tcPr>
            <w:tcW w:type="dxa" w:w="4954"/>
            <w:vAlign w:val="center"/>
            <w:tcMar>
              <w:top w:w="90" w:type="dxa"/>
              <w:bottom w:w="90" w:type="dxa"/>
              <w:left w:w="100" w:type="dxa"/>
              <w:right w:w="100" w:type="dxa"/>
            </w:tcMar>
          </w:tcPr>
          <w:p>
            <w:pPr>
              <w:spacing w:after="0" w:line="252" w:lineRule="auto"/>
            </w:pPr>
            <w:r>
              <w:rPr>
                <w:b w:val="0"/>
                <w:color w:val="000000"/>
                <w:sz w:val="21"/>
              </w:rPr>
              <w:t>Dig and dry roots such as biscuitroot</w:t>
            </w:r>
          </w:p>
        </w:tc>
      </w:tr>
      <w:tr>
        <w:trPr>
          <w:cantSplit/>
        </w:trPr>
        <w:tc>
          <w:tcPr>
            <w:tcW w:type="dxa" w:w="1930"/>
            <w:vAlign w:val="center"/>
            <w:tcMar>
              <w:top w:w="90" w:type="dxa"/>
              <w:bottom w:w="90" w:type="dxa"/>
              <w:left w:w="100" w:type="dxa"/>
              <w:right w:w="100" w:type="dxa"/>
            </w:tcMar>
          </w:tcPr>
          <w:p>
            <w:pPr>
              <w:spacing w:after="0" w:line="252" w:lineRule="auto"/>
              <w:jc w:val="center"/>
            </w:pPr>
            <w:r>
              <w:rPr>
                <w:b w:val="0"/>
                <w:color w:val="000000"/>
                <w:sz w:val="21"/>
              </w:rPr>
              <w:t>Late summer</w:t>
            </w:r>
          </w:p>
        </w:tc>
        <w:tc>
          <w:tcPr>
            <w:tcW w:type="dxa" w:w="3053"/>
            <w:vAlign w:val="center"/>
            <w:tcMar>
              <w:top w:w="90" w:type="dxa"/>
              <w:bottom w:w="90" w:type="dxa"/>
              <w:left w:w="100" w:type="dxa"/>
              <w:right w:w="100" w:type="dxa"/>
            </w:tcMar>
          </w:tcPr>
          <w:p>
            <w:pPr>
              <w:spacing w:after="0" w:line="252" w:lineRule="auto"/>
            </w:pPr>
            <w:r>
              <w:rPr>
                <w:b w:val="0"/>
                <w:color w:val="000000"/>
                <w:sz w:val="21"/>
              </w:rPr>
              <w:t>Higher mountain country</w:t>
            </w:r>
          </w:p>
        </w:tc>
        <w:tc>
          <w:tcPr>
            <w:tcW w:type="dxa" w:w="4954"/>
            <w:vAlign w:val="center"/>
            <w:tcMar>
              <w:top w:w="90" w:type="dxa"/>
              <w:bottom w:w="90" w:type="dxa"/>
              <w:left w:w="100" w:type="dxa"/>
              <w:right w:w="100" w:type="dxa"/>
            </w:tcMar>
          </w:tcPr>
          <w:p>
            <w:pPr>
              <w:spacing w:after="0" w:line="252" w:lineRule="auto"/>
            </w:pPr>
            <w:r>
              <w:rPr>
                <w:b w:val="0"/>
                <w:color w:val="000000"/>
                <w:sz w:val="21"/>
              </w:rPr>
              <w:t>Gather berries and hunt deer and elk</w:t>
            </w:r>
          </w:p>
        </w:tc>
      </w:tr>
      <w:tr>
        <w:trPr>
          <w:cantSplit/>
        </w:trPr>
        <w:tc>
          <w:tcPr>
            <w:tcW w:type="dxa" w:w="1930"/>
            <w:vAlign w:val="center"/>
            <w:tcMar>
              <w:top w:w="90" w:type="dxa"/>
              <w:bottom w:w="90" w:type="dxa"/>
              <w:left w:w="100" w:type="dxa"/>
              <w:right w:w="100" w:type="dxa"/>
            </w:tcMar>
          </w:tcPr>
          <w:p>
            <w:pPr>
              <w:spacing w:after="0" w:line="252" w:lineRule="auto"/>
              <w:jc w:val="center"/>
            </w:pPr>
            <w:r>
              <w:rPr>
                <w:b w:val="0"/>
                <w:color w:val="000000"/>
                <w:sz w:val="21"/>
              </w:rPr>
              <w:t>Autumn and winter</w:t>
            </w:r>
          </w:p>
        </w:tc>
        <w:tc>
          <w:tcPr>
            <w:tcW w:type="dxa" w:w="3053"/>
            <w:vAlign w:val="center"/>
            <w:tcMar>
              <w:top w:w="90" w:type="dxa"/>
              <w:bottom w:w="90" w:type="dxa"/>
              <w:left w:w="100" w:type="dxa"/>
              <w:right w:w="100" w:type="dxa"/>
            </w:tcMar>
          </w:tcPr>
          <w:p>
            <w:pPr>
              <w:spacing w:after="0" w:line="252" w:lineRule="auto"/>
            </w:pPr>
            <w:r>
              <w:rPr>
                <w:b w:val="0"/>
                <w:color w:val="000000"/>
                <w:sz w:val="21"/>
              </w:rPr>
              <w:t>Lower valleys and river camps</w:t>
            </w:r>
          </w:p>
        </w:tc>
        <w:tc>
          <w:tcPr>
            <w:tcW w:type="dxa" w:w="4954"/>
            <w:vAlign w:val="center"/>
            <w:tcMar>
              <w:top w:w="90" w:type="dxa"/>
              <w:bottom w:w="90" w:type="dxa"/>
              <w:left w:w="100" w:type="dxa"/>
              <w:right w:w="100" w:type="dxa"/>
            </w:tcMar>
          </w:tcPr>
          <w:p>
            <w:pPr>
              <w:spacing w:after="0" w:line="252" w:lineRule="auto"/>
            </w:pPr>
            <w:r>
              <w:rPr>
                <w:b w:val="0"/>
                <w:color w:val="000000"/>
                <w:sz w:val="21"/>
              </w:rPr>
              <w:t>Fish the fall run then rely on stored foods and winter activities</w:t>
            </w:r>
          </w:p>
        </w:tc>
      </w:tr>
    </w:tbl>
    <w:p>
      <w:pPr>
        <w:spacing w:after="0"/>
      </w:pPr>
    </w:p>
    <w:p>
      <w:pPr>
        <w:pStyle w:val="Heading1"/>
      </w:pPr>
      <w:r>
        <w:t>Homes and family life</w:t>
      </w:r>
    </w:p>
    <w:p>
      <w:pPr>
        <w:keepLines/>
      </w:pPr>
      <w:r>
        <w:t>Tule plants supplied mats for shelters. Families placed these mats over pole frames to make longhouses and other lodges. When moving camp, they could carry the mats and use poles at another location. These homes suited a life organized around seasonal travel. [4]</w:t>
      </w:r>
    </w:p>
    <w:p>
      <w:pPr>
        <w:keepLines/>
      </w:pPr>
      <w:r>
        <w:t>Extended families worked together to obtain food and prepare supplies. Elders taught children skills and family history. Bands had their own headmen, whose influence depended on persuasion and the support of their people. Leadership was spread among communities rather than resting permanently in one ruler over every Walla Walla band. [4]</w:t>
      </w:r>
    </w:p>
    <w:p>
      <w:pPr>
        <w:keepLines/>
      </w:pPr>
      <w:r>
        <w:t>Lewis recorded fifteen large mat lodges at the village he visited on April 27, 1806. His entry also describes people supplying firewood and food to the expedition. This is a useful contemporary glimpse of a particular community, although it represents an outsider's brief visit. [6]</w:t>
      </w:r>
    </w:p>
    <w:p>
      <w:pPr>
        <w:pStyle w:val="Heading1"/>
      </w:pPr>
      <w:r>
        <w:t>Trade and horses</w:t>
      </w:r>
    </w:p>
    <w:p>
      <w:pPr>
        <w:keepLines/>
      </w:pPr>
      <w:r>
        <w:t>Horses expanded travel, carrying capacity and contact with other peoples. Walla Walla families could move supplies overland more easily while keeping their close connection with rivers. The CTUIR's ethnographic study describes horse travel as an addition to a continuing river-based way of life. [12]</w:t>
      </w:r>
    </w:p>
    <w:p>
      <w:pPr>
        <w:keepLines/>
      </w:pPr>
      <w:r>
        <w:t>Trade involved social duties as well as goods. The leader whom Lewis and Clark called Yelleppit may have been identified by a Sahaptin term for a trading friend. Such relationships joined communities through gifts, hospitality and repeated exchanges. The familiar spelling in expedition records may therefore record a relationship rather than his personal name. [8]</w:t>
      </w:r>
    </w:p>
    <w:p>
      <w:pPr>
        <w:keepLines/>
      </w:pPr>
      <w:r>
        <w:t>In 1806 Yelleppit offered Clark a white horse. Clark, unable to spare the requested kettle, gave him a sword and other goods. The exchange shows how Walla Walla leaders pursued useful relationships with newcomers through established practices of giving and negotiation. [8]</w:t>
      </w:r>
    </w:p>
    <w:p>
      <w:pPr>
        <w:pStyle w:val="Heading1"/>
      </w:pPr>
      <w:r>
        <w:t>Belief ceremony and responsibility</w:t>
      </w:r>
    </w:p>
    <w:p>
      <w:pPr>
        <w:keepLines/>
      </w:pPr>
      <w:r>
        <w:t>Tamánwit refers to traditional law and a way of life rooted in the Creator's ordering of the world. In CTUIR teachings, foods sustain people and people have a duty to care for the land and the living things that feed them. This relationship links spiritual responsibility with practical actions such as harvesting and caring for rivers. [12]</w:t>
      </w:r>
    </w:p>
    <w:p>
      <w:pPr>
        <w:keepLines/>
      </w:pPr>
      <w:r>
        <w:t>Some tribal members continue Washat, also called Seven Drums. Community worship includes singing, drumming and dancing. Traditional food gathering continues as well. These practices connect living families with earlier generations, while individual members have their own religious lives. [1]</w:t>
      </w:r>
    </w:p>
    <w:p>
      <w:pPr>
        <w:keepLines/>
      </w:pPr>
      <w:r>
        <w:t>First Foods are central to this relationship. A peer reviewed study by Eric Quaempts and colleagues explains how reciprocity, the duty to care for the beings that sustain people, guides CTUIR environmental management. Protecting foods requires attention to the wider ecosystems that allow them to return. [21]</w:t>
      </w:r>
    </w:p>
    <w:p>
      <w:pPr>
        <w:pStyle w:val="Heading1"/>
      </w:pPr>
      <w:r>
        <w:t>Clothing and material arts</w:t>
      </w:r>
    </w:p>
    <w:p>
      <w:pPr>
        <w:keepLines/>
      </w:pPr>
      <w:r>
        <w:t>Historical Walla Walla objects show skilled work with hides, beads and other materials. A Smithsonian pouch dated to about the 1840s combines buffalo hide, sinew and large glass pony beads. Its block patterns show how makers used the size and shape of the beads in their designs. The object offers evidence of artistic choices and the movement of materials across regions. [10]</w:t>
      </w:r>
    </w:p>
    <w:p>
      <w:pPr>
        <w:keepLines/>
      </w:pPr>
      <w:r>
        <w:t>A Walla Walla dress dated to about 1860 to 1880 combines deerskin, glass beads, cowrie shells and sinew. It belongs to a deer-tail dress tradition shared by women in the eastern Plateau and northern Plains. Such objects show cultural exchange and individual workmanship. They document clothing from particular historical periods rather than a single outfit worn by every Walla Walla person. [11]</w:t>
      </w:r>
    </w:p>
    <w:p>
      <w:pPr>
        <w:pStyle w:val="Heading1"/>
      </w:pPr>
      <w:r>
        <w:t>Encounters with explorers traders and missionaries</w:t>
      </w:r>
    </w:p>
    <w:p>
      <w:pPr>
        <w:keepLines/>
      </w:pPr>
      <w:r>
        <w:t>Lewis and Clark met Yelleppit in October 1805 and again during their return in April 1806. Walla Walla hosts supplied food, assistance and route information. Their knowledge of an overland trail helped the expedition shorten its journey toward Nez Perce country. The explorers depended on people who already understood the region. [7]</w:t>
      </w:r>
    </w:p>
    <w:p>
      <w:pPr>
        <w:keepLines/>
      </w:pPr>
      <w:r>
        <w:t>In his April 27 journal, Lewis described a leader who brought wood and roasted fish himself and encouraged others to help. The entry documents hospitality and leadership through example. It also reflects the expedition's immediate needs and its author's assumptions, so it should be read alongside tribal accounts. [6]</w:t>
      </w:r>
    </w:p>
    <w:p>
      <w:pPr>
        <w:keepLines/>
      </w:pPr>
      <w:r>
        <w:t>In 1818 the North West Company established Fort Nez Perce near the mouth of the Walla Walla River. It later became known as Fort Walla Walla. This was a fur-trade post near Wallula, distinct from the later United States military fort associated with today's city. Walla Walla headman Tamatapam helped develop trade with the Hudson's Bay Company. [8, 9]</w:t>
      </w:r>
    </w:p>
    <w:p>
      <w:pPr>
        <w:keepLines/>
      </w:pPr>
      <w:r>
        <w:t>The Whitman mission began in 1836 on Cayuse land with the permission of a Cayuse headman. Rising settlement and new diseases then placed severe pressure on Native communities. In 1847 a group of Cayuse attacked the mission during a crisis marked by a devastating measles outbreak. The mission's story belongs to the region's shared history, but the Walla Walla and Cayuse remain distinct peoples. [9, 24]</w:t>
      </w:r>
    </w:p>
    <w:p>
      <w:pPr>
        <w:pStyle w:val="Heading1"/>
      </w:pPr>
      <w:r>
        <w:t>The Walla Walla treaty of 1855</w:t>
      </w:r>
    </w:p>
    <w:p>
      <w:pPr>
        <w:keepLines/>
      </w:pPr>
      <w:r>
        <w:t>United States officials Isaac Stevens and Joel Palmer sought treaties that would open Native lands to settlers and place tribal communities on reservations. Tribal leaders attended the Walla Walla council to protect their people and defend their relationship with the land. Their arguments drew on religious duties and the right to remain in their homeland. [13]</w:t>
      </w:r>
    </w:p>
    <w:p>
      <w:pPr>
        <w:keepLines/>
      </w:pPr>
      <w:r>
        <w:t>On June 9, 1855, Walla Walla, Cayuse and Umatilla delegates signed a treaty with the United States. The agreement ceded roughly 6.4 million acres and reserved a homeland in northeastern Oregon. The council involved other peoples too, who made separate treaties. The Walla Walla agreement should be distinguished from the Yakama and Nez Perce treaties negotiated at the same council. [13]</w:t>
      </w:r>
    </w:p>
    <w:p>
      <w:pPr>
        <w:keepLines/>
      </w:pPr>
      <w:r>
        <w:t>Article I reserved fishing within the reservation and at usual and accustomed stations outside it. It also protected hunting, gathering roots and berries and grazing stock on unclaimed lands under the treaty's terms. Other articles promised payments, buildings and services. The agreement treated the three peoples as one nation for treaty purposes. [14]</w:t>
      </w:r>
    </w:p>
    <w:p>
      <w:pPr>
        <w:keepLines/>
      </w:pPr>
      <w:r>
        <w:t>The Senate ratified the treaty on March 8, 1859. President James Buchanan proclaimed it on April 11, 1859. Signing in 1855 and ratification in 1859 were separate steps, and conflict had already erupted before ratification. [14, 15]</w:t>
      </w:r>
    </w:p>
    <w:p>
      <w:pPr>
        <w:pStyle w:val="Heading1"/>
      </w:pPr>
      <w:r>
        <w:t>Peopeomoxmox and the fighting of 1855</w:t>
      </w:r>
    </w:p>
    <w:p>
      <w:pPr>
        <w:keepLines/>
      </w:pPr>
      <w:r>
        <w:t>Peopeomoxmox, also spelled Peo-Peo-Mox-Mox, was a prominent Walla Walla leader and treaty participant. In December 1855 he approached Oregon volunteer troops under a flag of truce and was held as a hostage. Fighting began on December 7 in the Walla Walla Valley, near Frenchtown, and continued for several days. [15]</w:t>
      </w:r>
    </w:p>
    <w:p>
      <w:pPr>
        <w:keepLines/>
      </w:pPr>
      <w:r>
        <w:t>On the first day of battle the volunteers killed Peopeomoxmox while he was in their custody. Accounts differ about the immediate struggle, but his captivity and death are established. The campaign scattered families and damaged their livestock-based wealth. It was part of a wider period of warfare across the Columbia Plateau, with lasting consequences for the ability of Native communities to remain in their homelands. [15]</w:t>
      </w:r>
    </w:p>
    <w:p>
      <w:pPr>
        <w:pStyle w:val="Heading1"/>
      </w:pPr>
      <w:r>
        <w:t>Reservation life and allotment</w:t>
      </w:r>
    </w:p>
    <w:p>
      <w:pPr>
        <w:keepLines/>
      </w:pPr>
      <w:r>
        <w:t>Reservation life restricted older patterns of travel and access to resources. Walla Walla families joined Cayuse, Umatilla and other relatives in the reservation community. People continued harvesting foods while also adapting to farming, ranching and paid work. These changes involved both decisions made by families and pressures imposed by government policy. [16]</w:t>
      </w:r>
    </w:p>
    <w:p>
      <w:pPr>
        <w:keepLines/>
      </w:pPr>
      <w:r>
        <w:t>Allotment divided collectively held reservation land into individual parcels. Officials then opened land classified as surplus to non-Native acquisition. At Umatilla, the Slater Act of 1885 preceded the better-known General Allotment Act of 1887. Further legislation in 1888 reduced reservation lands. This process weakened the shared land base and made cultural and economic life more difficult. [16]</w:t>
      </w:r>
    </w:p>
    <w:p>
      <w:pPr>
        <w:pStyle w:val="Heading1"/>
      </w:pPr>
      <w:r>
        <w:t>Schooling and cultural pressure</w:t>
      </w:r>
    </w:p>
    <w:p>
      <w:pPr>
        <w:keepLines/>
      </w:pPr>
      <w:r>
        <w:t>Federal education policy often aimed to replace Native languages and practices with English and Euro-American customs. A boarding school operated on the Umatilla Reservation, and off-reservation schools formed part of the wider system. Many children were separated from their families, and schooling could interrupt learning from parents and elders. [17]</w:t>
      </w:r>
    </w:p>
    <w:p>
      <w:pPr>
        <w:keepLines/>
      </w:pPr>
      <w:r>
        <w:t>The history of Native education also includes families seeking useful training and later efforts to reshape schools. Present tribal language teaching grows within this longer struggle over who controls education and what knowledge children receive. The harmful aims of early assimilation policy should be distinguished from the goals of contemporary Native education. [17, 3]</w:t>
      </w:r>
    </w:p>
    <w:p>
      <w:pPr>
        <w:pStyle w:val="Heading1"/>
      </w:pPr>
      <w:r>
        <w:t>Constitutional government and community life</w:t>
      </w:r>
    </w:p>
    <w:p>
      <w:pPr>
        <w:keepLines/>
      </w:pPr>
      <w:r>
        <w:t>The confederated tribes ratified a constitution on November 4, 1949, by 113 votes to 104. Federal approval followed on December 7. The text declared that adopting the constitution would surrender no tribal rights and specified that it was not adopted under the Indian Reorganization Act. The document records the community's effort to strengthen self-government on its own terms. [18]</w:t>
      </w:r>
    </w:p>
    <w:p>
      <w:pPr>
        <w:keepLines/>
      </w:pPr>
      <w:r>
        <w:t>Today the CTUIR has a General Council of adult tribal members and an elected nine-member Board of Trustees. Its government works on education, health, natural resources and other community affairs. Walla Walla people participate in this shared political nation while maintaining family and cultural identities. Modern membership totals reported for CTUIR cover all three peoples together. [19]</w:t>
      </w:r>
    </w:p>
    <w:p>
      <w:pPr>
        <w:pStyle w:val="Heading1"/>
      </w:pPr>
      <w:r>
        <w:t>Celilo Falls and the changing river</w:t>
      </w:r>
    </w:p>
    <w:p>
      <w:pPr>
        <w:keepLines/>
      </w:pPr>
      <w:r>
        <w:t>Celilo Falls was a major intertribal fishing and trading place on the Columbia River. Its significance extended beyond the communities living immediately beside it. Treaties preserved fishing rights, but commercial fishing, development and barriers to access placed pressure on Native fisheries. [20]</w:t>
      </w:r>
    </w:p>
    <w:p>
      <w:pPr>
        <w:keepLines/>
      </w:pPr>
      <w:r>
        <w:t>On March 10, 1957, the reservoir behind The Dalles Dam submerged the falls and part of Celilo Village. The loss removed fishing platforms and transformed a center of work and social life. Federal compensation for lost fishing sites did not extinguish tribal fishing rights. The event helps explain why the history of the Walla Walla and related river peoples includes the history of dams and river management. [20]</w:t>
      </w:r>
    </w:p>
    <w:p>
      <w:pPr>
        <w:pStyle w:val="Heading1"/>
      </w:pPr>
      <w:r>
        <w:t>Cultural renewal and river restoration</w:t>
      </w:r>
    </w:p>
    <w:p>
      <w:pPr>
        <w:keepLines/>
      </w:pPr>
      <w:r>
        <w:t>Tamástslikt Cultural Institute opened to the public on August 1, 1998. It tells Cayuse, Umatilla and Walla Walla history from tribal perspectives through exhibits and public programs. Its exhibits explain tribal experiences of western expansion and connect that history with community life today. [23]</w:t>
      </w:r>
    </w:p>
    <w:p>
      <w:pPr>
        <w:keepLines/>
      </w:pPr>
      <w:r>
        <w:t>The CTUIR Fisheries Habitat Program works with landowners, agencies and other partners to restore river conditions across traditional harvesting areas. Its approach includes floodplains, channels, streamside vegetation and the movement of water and fish. The purpose is to sustain aquatic First Foods and opportunities to harvest them. [22]</w:t>
      </w:r>
    </w:p>
    <w:p>
      <w:pPr>
        <w:keepLines/>
      </w:pPr>
      <w:r>
        <w:t>The First Foods approach connects these projects with older duties of care. Quaempts and colleagues explain that reciprocity can organize scientific planning and management decisions. In this setting, cultural continuity depends partly on whether rivers and surrounding lands can continue supporting the foods on which community life rests. [21]</w:t>
      </w:r>
    </w:p>
    <w:p>
      <w:r>
        <w:br w:type="page"/>
      </w:r>
    </w:p>
    <w:p>
      <w:pPr>
        <w:pStyle w:val="Heading1"/>
      </w:pPr>
      <w:r>
        <w:t>Timeline</w:t>
      </w:r>
    </w:p>
    <w:p>
      <w:pPr>
        <w:keepLines/>
      </w:pPr>
      <w:r>
        <w:t>Dates mark selected events in Walla Walla history and the wider history of the confederated tribes. Bracketed numbers identify sources in the list that follows.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44"/>
        <w:gridCol w:w="7992"/>
      </w:tblGrid>
      <w:tr>
        <w:trPr>
          <w:cantSplit/>
          <w:tblHeader/>
        </w:trPr>
        <w:tc>
          <w:tcPr>
            <w:tcW w:type="dxa" w:w="1944"/>
            <w:vAlign w:val="center"/>
            <w:tcMar>
              <w:top w:w="90" w:type="dxa"/>
              <w:bottom w:w="90" w:type="dxa"/>
              <w:left w:w="100" w:type="dxa"/>
              <w:right w:w="100" w:type="dxa"/>
            </w:tcMar>
            <w:shd w:fill="E5EBF1"/>
          </w:tcPr>
          <w:p>
            <w:pPr>
              <w:spacing w:after="0" w:line="252" w:lineRule="auto"/>
              <w:jc w:val="center"/>
            </w:pPr>
            <w:r>
              <w:rPr>
                <w:b/>
                <w:color w:val="000000"/>
                <w:sz w:val="21"/>
              </w:rPr>
              <w:t>Date or period</w:t>
            </w:r>
          </w:p>
        </w:tc>
        <w:tc>
          <w:tcPr>
            <w:tcW w:type="dxa" w:w="7992"/>
            <w:vAlign w:val="center"/>
            <w:tcMar>
              <w:top w:w="90" w:type="dxa"/>
              <w:bottom w:w="90" w:type="dxa"/>
              <w:left w:w="100" w:type="dxa"/>
              <w:right w:w="100" w:type="dxa"/>
            </w:tcMar>
            <w:shd w:fill="E5EBF1"/>
          </w:tcPr>
          <w:p>
            <w:pPr>
              <w:spacing w:after="0" w:line="252" w:lineRule="auto"/>
            </w:pPr>
            <w:r>
              <w:rPr>
                <w:b/>
                <w:color w:val="000000"/>
                <w:sz w:val="21"/>
              </w:rPr>
              <w:t>Event</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Time immemorial</w:t>
            </w:r>
          </w:p>
        </w:tc>
        <w:tc>
          <w:tcPr>
            <w:tcW w:type="dxa" w:w="7992"/>
            <w:vAlign w:val="center"/>
            <w:tcMar>
              <w:top w:w="90" w:type="dxa"/>
              <w:bottom w:w="90" w:type="dxa"/>
              <w:left w:w="100" w:type="dxa"/>
              <w:right w:w="100" w:type="dxa"/>
            </w:tcMar>
          </w:tcPr>
          <w:p>
            <w:pPr>
              <w:spacing w:after="0" w:line="252" w:lineRule="auto"/>
            </w:pPr>
            <w:r>
              <w:rPr>
                <w:b w:val="0"/>
                <w:color w:val="000000"/>
                <w:sz w:val="21"/>
              </w:rPr>
              <w:t>Ancestral communities live along the Columbia River and surrounding country. CTUIR describes a regional presence of more than 10,000 years. [1]</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1700s</w:t>
            </w:r>
          </w:p>
        </w:tc>
        <w:tc>
          <w:tcPr>
            <w:tcW w:type="dxa" w:w="7992"/>
            <w:vAlign w:val="center"/>
            <w:tcMar>
              <w:top w:w="90" w:type="dxa"/>
              <w:bottom w:w="90" w:type="dxa"/>
              <w:left w:w="100" w:type="dxa"/>
              <w:right w:w="100" w:type="dxa"/>
            </w:tcMar>
          </w:tcPr>
          <w:p>
            <w:pPr>
              <w:spacing w:after="0" w:line="252" w:lineRule="auto"/>
            </w:pPr>
            <w:r>
              <w:rPr>
                <w:b w:val="0"/>
                <w:color w:val="000000"/>
                <w:sz w:val="21"/>
              </w:rPr>
              <w:t>Horses expand mobility, carrying capacity and connections with other peoples. [4, 12]</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October 1805</w:t>
            </w:r>
          </w:p>
        </w:tc>
        <w:tc>
          <w:tcPr>
            <w:tcW w:type="dxa" w:w="7992"/>
            <w:vAlign w:val="center"/>
            <w:tcMar>
              <w:top w:w="90" w:type="dxa"/>
              <w:bottom w:w="90" w:type="dxa"/>
              <w:left w:w="100" w:type="dxa"/>
              <w:right w:w="100" w:type="dxa"/>
            </w:tcMar>
          </w:tcPr>
          <w:p>
            <w:pPr>
              <w:spacing w:after="0" w:line="252" w:lineRule="auto"/>
            </w:pPr>
            <w:r>
              <w:rPr>
                <w:b w:val="0"/>
                <w:color w:val="000000"/>
                <w:sz w:val="21"/>
              </w:rPr>
              <w:t>Lewis and Clark meet the Walla Walla leader recorded as Yelleppit. [7]</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April 1806</w:t>
            </w:r>
          </w:p>
        </w:tc>
        <w:tc>
          <w:tcPr>
            <w:tcW w:type="dxa" w:w="7992"/>
            <w:vAlign w:val="center"/>
            <w:tcMar>
              <w:top w:w="90" w:type="dxa"/>
              <w:bottom w:w="90" w:type="dxa"/>
              <w:left w:w="100" w:type="dxa"/>
              <w:right w:w="100" w:type="dxa"/>
            </w:tcMar>
          </w:tcPr>
          <w:p>
            <w:pPr>
              <w:spacing w:after="0" w:line="252" w:lineRule="auto"/>
            </w:pPr>
            <w:r>
              <w:rPr>
                <w:b w:val="0"/>
                <w:color w:val="000000"/>
                <w:sz w:val="21"/>
              </w:rPr>
              <w:t>Walla Walla hosts help the returning expedition with food, horses and route knowledge. [6, 7]</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1818</w:t>
            </w:r>
          </w:p>
        </w:tc>
        <w:tc>
          <w:tcPr>
            <w:tcW w:type="dxa" w:w="7992"/>
            <w:vAlign w:val="center"/>
            <w:tcMar>
              <w:top w:w="90" w:type="dxa"/>
              <w:bottom w:w="90" w:type="dxa"/>
              <w:left w:w="100" w:type="dxa"/>
              <w:right w:w="100" w:type="dxa"/>
            </w:tcMar>
          </w:tcPr>
          <w:p>
            <w:pPr>
              <w:spacing w:after="0" w:line="252" w:lineRule="auto"/>
            </w:pPr>
            <w:r>
              <w:rPr>
                <w:b w:val="0"/>
                <w:color w:val="000000"/>
                <w:sz w:val="21"/>
              </w:rPr>
              <w:t>The North West Company establishes Fort Nez Perce near Wallula. The post later becomes known as Fort Walla Walla. [8]</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1836</w:t>
            </w:r>
          </w:p>
        </w:tc>
        <w:tc>
          <w:tcPr>
            <w:tcW w:type="dxa" w:w="7992"/>
            <w:vAlign w:val="center"/>
            <w:tcMar>
              <w:top w:w="90" w:type="dxa"/>
              <w:bottom w:w="90" w:type="dxa"/>
              <w:left w:w="100" w:type="dxa"/>
              <w:right w:w="100" w:type="dxa"/>
            </w:tcMar>
          </w:tcPr>
          <w:p>
            <w:pPr>
              <w:spacing w:after="0" w:line="252" w:lineRule="auto"/>
            </w:pPr>
            <w:r>
              <w:rPr>
                <w:b w:val="0"/>
                <w:color w:val="000000"/>
                <w:sz w:val="21"/>
              </w:rPr>
              <w:t>The Whitman mission begins on neighboring Cayuse land in the Walla Walla Valley. [9]</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1847</w:t>
            </w:r>
          </w:p>
        </w:tc>
        <w:tc>
          <w:tcPr>
            <w:tcW w:type="dxa" w:w="7992"/>
            <w:vAlign w:val="center"/>
            <w:tcMar>
              <w:top w:w="90" w:type="dxa"/>
              <w:bottom w:w="90" w:type="dxa"/>
              <w:left w:w="100" w:type="dxa"/>
              <w:right w:w="100" w:type="dxa"/>
            </w:tcMar>
          </w:tcPr>
          <w:p>
            <w:pPr>
              <w:spacing w:after="0" w:line="252" w:lineRule="auto"/>
            </w:pPr>
            <w:r>
              <w:rPr>
                <w:b w:val="0"/>
                <w:color w:val="000000"/>
                <w:sz w:val="21"/>
              </w:rPr>
              <w:t>A measles crisis and the Cayuse attack on Whitman Mission deepen regional conflict. [24]</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June 9, 1855</w:t>
            </w:r>
          </w:p>
        </w:tc>
        <w:tc>
          <w:tcPr>
            <w:tcW w:type="dxa" w:w="7992"/>
            <w:vAlign w:val="center"/>
            <w:tcMar>
              <w:top w:w="90" w:type="dxa"/>
              <w:bottom w:w="90" w:type="dxa"/>
              <w:left w:w="100" w:type="dxa"/>
              <w:right w:w="100" w:type="dxa"/>
            </w:tcMar>
          </w:tcPr>
          <w:p>
            <w:pPr>
              <w:spacing w:after="0" w:line="252" w:lineRule="auto"/>
            </w:pPr>
            <w:r>
              <w:rPr>
                <w:b w:val="0"/>
                <w:color w:val="000000"/>
                <w:sz w:val="21"/>
              </w:rPr>
              <w:t>Walla Walla, Cayuse and Umatilla delegates sign their treaty with the United States. [13, 14]</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December 1855</w:t>
            </w:r>
          </w:p>
        </w:tc>
        <w:tc>
          <w:tcPr>
            <w:tcW w:type="dxa" w:w="7992"/>
            <w:vAlign w:val="center"/>
            <w:tcMar>
              <w:top w:w="90" w:type="dxa"/>
              <w:bottom w:w="90" w:type="dxa"/>
              <w:left w:w="100" w:type="dxa"/>
              <w:right w:w="100" w:type="dxa"/>
            </w:tcMar>
          </w:tcPr>
          <w:p>
            <w:pPr>
              <w:spacing w:after="0" w:line="252" w:lineRule="auto"/>
            </w:pPr>
            <w:r>
              <w:rPr>
                <w:b w:val="0"/>
                <w:color w:val="000000"/>
                <w:sz w:val="21"/>
              </w:rPr>
              <w:t>Oregon volunteers fight Walla Walla forces and allies. Peopeomoxmox is killed in custody on December 7. [15]</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1859</w:t>
            </w:r>
          </w:p>
        </w:tc>
        <w:tc>
          <w:tcPr>
            <w:tcW w:type="dxa" w:w="7992"/>
            <w:vAlign w:val="center"/>
            <w:tcMar>
              <w:top w:w="90" w:type="dxa"/>
              <w:bottom w:w="90" w:type="dxa"/>
              <w:left w:w="100" w:type="dxa"/>
              <w:right w:w="100" w:type="dxa"/>
            </w:tcMar>
          </w:tcPr>
          <w:p>
            <w:pPr>
              <w:spacing w:after="0" w:line="252" w:lineRule="auto"/>
            </w:pPr>
            <w:r>
              <w:rPr>
                <w:b w:val="0"/>
                <w:color w:val="000000"/>
                <w:sz w:val="21"/>
              </w:rPr>
              <w:t>The Senate ratifies the treaty on March 8. President Buchanan proclaims it on April 11. [14]</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1885 and 1888</w:t>
            </w:r>
          </w:p>
        </w:tc>
        <w:tc>
          <w:tcPr>
            <w:tcW w:type="dxa" w:w="7992"/>
            <w:vAlign w:val="center"/>
            <w:tcMar>
              <w:top w:w="90" w:type="dxa"/>
              <w:bottom w:w="90" w:type="dxa"/>
              <w:left w:w="100" w:type="dxa"/>
              <w:right w:w="100" w:type="dxa"/>
            </w:tcMar>
          </w:tcPr>
          <w:p>
            <w:pPr>
              <w:spacing w:after="0" w:line="252" w:lineRule="auto"/>
            </w:pPr>
            <w:r>
              <w:rPr>
                <w:b w:val="0"/>
                <w:color w:val="000000"/>
                <w:sz w:val="21"/>
              </w:rPr>
              <w:t>Allotment legislation divides tribal land and reduces the reservation land base. [16]</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November 4, 1949</w:t>
            </w:r>
          </w:p>
        </w:tc>
        <w:tc>
          <w:tcPr>
            <w:tcW w:type="dxa" w:w="7992"/>
            <w:vAlign w:val="center"/>
            <w:tcMar>
              <w:top w:w="90" w:type="dxa"/>
              <w:bottom w:w="90" w:type="dxa"/>
              <w:left w:w="100" w:type="dxa"/>
              <w:right w:w="100" w:type="dxa"/>
            </w:tcMar>
          </w:tcPr>
          <w:p>
            <w:pPr>
              <w:spacing w:after="0" w:line="252" w:lineRule="auto"/>
            </w:pPr>
            <w:r>
              <w:rPr>
                <w:b w:val="0"/>
                <w:color w:val="000000"/>
                <w:sz w:val="21"/>
              </w:rPr>
              <w:t>The confederated tribes ratify their constitution. Federal approval follows on December 7. [18]</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March 10, 1957</w:t>
            </w:r>
          </w:p>
        </w:tc>
        <w:tc>
          <w:tcPr>
            <w:tcW w:type="dxa" w:w="7992"/>
            <w:vAlign w:val="center"/>
            <w:tcMar>
              <w:top w:w="90" w:type="dxa"/>
              <w:bottom w:w="90" w:type="dxa"/>
              <w:left w:w="100" w:type="dxa"/>
              <w:right w:w="100" w:type="dxa"/>
            </w:tcMar>
          </w:tcPr>
          <w:p>
            <w:pPr>
              <w:spacing w:after="0" w:line="252" w:lineRule="auto"/>
            </w:pPr>
            <w:r>
              <w:rPr>
                <w:b w:val="0"/>
                <w:color w:val="000000"/>
                <w:sz w:val="21"/>
              </w:rPr>
              <w:t>The Dalles Dam reservoir submerges Celilo Falls and part of Celilo Village. [20]</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August 1, 1998</w:t>
            </w:r>
          </w:p>
        </w:tc>
        <w:tc>
          <w:tcPr>
            <w:tcW w:type="dxa" w:w="7992"/>
            <w:vAlign w:val="center"/>
            <w:tcMar>
              <w:top w:w="90" w:type="dxa"/>
              <w:bottom w:w="90" w:type="dxa"/>
              <w:left w:w="100" w:type="dxa"/>
              <w:right w:w="100" w:type="dxa"/>
            </w:tcMar>
          </w:tcPr>
          <w:p>
            <w:pPr>
              <w:spacing w:after="0" w:line="252" w:lineRule="auto"/>
            </w:pPr>
            <w:r>
              <w:rPr>
                <w:b w:val="0"/>
                <w:color w:val="000000"/>
                <w:sz w:val="21"/>
              </w:rPr>
              <w:t>Tamástslikt Cultural Institute opens to the public. [23]</w:t>
            </w:r>
          </w:p>
        </w:tc>
      </w:tr>
      <w:tr>
        <w:trPr>
          <w:cantSplit/>
        </w:trPr>
        <w:tc>
          <w:tcPr>
            <w:tcW w:type="dxa" w:w="1944"/>
            <w:vAlign w:val="center"/>
            <w:tcMar>
              <w:top w:w="90" w:type="dxa"/>
              <w:bottom w:w="90" w:type="dxa"/>
              <w:left w:w="100" w:type="dxa"/>
              <w:right w:w="100" w:type="dxa"/>
            </w:tcMar>
          </w:tcPr>
          <w:p>
            <w:pPr>
              <w:spacing w:after="0" w:line="252" w:lineRule="auto"/>
              <w:jc w:val="center"/>
            </w:pPr>
            <w:r>
              <w:rPr>
                <w:b w:val="0"/>
                <w:color w:val="000000"/>
                <w:sz w:val="21"/>
              </w:rPr>
              <w:t>Present</w:t>
            </w:r>
          </w:p>
        </w:tc>
        <w:tc>
          <w:tcPr>
            <w:tcW w:type="dxa" w:w="7992"/>
            <w:vAlign w:val="center"/>
            <w:tcMar>
              <w:top w:w="90" w:type="dxa"/>
              <w:bottom w:w="90" w:type="dxa"/>
              <w:left w:w="100" w:type="dxa"/>
              <w:right w:w="100" w:type="dxa"/>
            </w:tcMar>
          </w:tcPr>
          <w:p>
            <w:pPr>
              <w:spacing w:after="0" w:line="252" w:lineRule="auto"/>
            </w:pPr>
            <w:r>
              <w:rPr>
                <w:b w:val="0"/>
                <w:color w:val="000000"/>
                <w:sz w:val="21"/>
              </w:rPr>
              <w:t>Walla Walla people continue community life through CTUIR with language teaching, cultural programs and river restoration. [3, 19, 22]</w:t>
            </w:r>
          </w:p>
        </w:tc>
      </w:tr>
    </w:tbl>
    <w:p>
      <w:pPr>
        <w:spacing w:after="0"/>
      </w:pPr>
    </w:p>
    <w:p>
      <w:r>
        <w:br w:type="page"/>
      </w:r>
    </w:p>
    <w:p>
      <w:pPr>
        <w:pStyle w:val="Heading1"/>
      </w:pPr>
      <w:r>
        <w:t>Sources and working URLs</w:t>
      </w:r>
    </w:p>
    <w:p>
      <w:pPr>
        <w:keepLines/>
      </w:pPr>
      <w:r>
        <w:t>Tribal histories and language resources are paired with primary records, historical scholarship and museum collections. The 1806 journal is an edited transcription of a contemporary record. The treaty is a scanned federal publication. The 1949 constitution is a historical text, while the CTUIR overview describes present government.</w:t>
      </w:r>
    </w:p>
    <w:p>
      <w:pPr>
        <w:keepNext/>
        <w:spacing w:before="100" w:after="40"/>
      </w:pPr>
      <w:r>
        <w:rPr>
          <w:b/>
          <w:sz w:val="21"/>
        </w:rPr>
        <w:t>[1] Confederated Tribes of the Umatilla Indian Reservation. History and culture.</w:t>
      </w:r>
    </w:p>
    <w:p>
      <w:pPr>
        <w:keepNext/>
        <w:spacing w:after="40"/>
      </w:pPr>
      <w:r>
        <w:rPr>
          <w:sz w:val="21"/>
        </w:rPr>
        <w:t>Tribal account of ancestral lifeways and continuing traditions.</w:t>
      </w:r>
    </w:p>
    <w:p>
      <w:pPr>
        <w:spacing w:after="100"/>
      </w:pPr>
      <w:hyperlink r:id="rId10">
        <w:r>
          <w:rPr>
            <w:rFonts w:ascii="Liberation Sans" w:hAnsi="Liberation Sans"/>
            <w:color w:val="15496B"/>
            <w:sz w:val="20"/>
          </w:rPr>
          <w:t>https://ctuir.org/about/history-culture/</w:t>
        </w:r>
      </w:hyperlink>
    </w:p>
    <w:p>
      <w:pPr>
        <w:keepNext/>
        <w:spacing w:before="100" w:after="40"/>
      </w:pPr>
      <w:r>
        <w:rPr>
          <w:b/>
          <w:sz w:val="21"/>
        </w:rPr>
        <w:t>[2] CTUIR Language Program. Walla Walla dictionary entry.</w:t>
      </w:r>
    </w:p>
    <w:p>
      <w:pPr>
        <w:keepNext/>
        <w:spacing w:after="40"/>
      </w:pPr>
      <w:r>
        <w:rPr>
          <w:sz w:val="21"/>
        </w:rPr>
        <w:t>Tribal language reference drawing on Noel Rude's work.</w:t>
      </w:r>
    </w:p>
    <w:p>
      <w:pPr>
        <w:spacing w:after="100"/>
      </w:pPr>
      <w:hyperlink r:id="rId11">
        <w:r>
          <w:rPr>
            <w:rFonts w:ascii="Liberation Sans" w:hAnsi="Liberation Sans"/>
            <w:color w:val="15496B"/>
            <w:sz w:val="20"/>
          </w:rPr>
          <w:t>https://dictionary.ctuir.org/eng/walla-walla/</w:t>
        </w:r>
      </w:hyperlink>
    </w:p>
    <w:p>
      <w:pPr>
        <w:keepNext/>
        <w:spacing w:before="100" w:after="40"/>
      </w:pPr>
      <w:r>
        <w:rPr>
          <w:b/>
          <w:sz w:val="21"/>
        </w:rPr>
        <w:t>[3] Confederated Tribes of the Umatilla Indian Reservation. The language of Nixyaawii.</w:t>
      </w:r>
    </w:p>
    <w:p>
      <w:pPr>
        <w:keepNext/>
        <w:spacing w:after="40"/>
      </w:pPr>
      <w:r>
        <w:rPr>
          <w:sz w:val="21"/>
        </w:rPr>
        <w:t>Tribal explanation of language relationships and revitalization.</w:t>
      </w:r>
    </w:p>
    <w:p>
      <w:pPr>
        <w:spacing w:after="100"/>
      </w:pPr>
      <w:hyperlink r:id="rId12">
        <w:r>
          <w:rPr>
            <w:rFonts w:ascii="Liberation Sans" w:hAnsi="Liberation Sans"/>
            <w:color w:val="15496B"/>
            <w:sz w:val="20"/>
          </w:rPr>
          <w:t>https://ctuir.org/about/language/</w:t>
        </w:r>
      </w:hyperlink>
    </w:p>
    <w:p>
      <w:pPr>
        <w:keepNext/>
        <w:spacing w:before="100" w:after="40"/>
      </w:pPr>
      <w:r>
        <w:rPr>
          <w:b/>
          <w:sz w:val="21"/>
        </w:rPr>
        <w:t>[4] Confederated Tribes of the Umatilla Indian Reservation. A brief history of CTUIR.</w:t>
      </w:r>
    </w:p>
    <w:p>
      <w:pPr>
        <w:keepNext/>
        <w:spacing w:after="40"/>
      </w:pPr>
      <w:r>
        <w:rPr>
          <w:sz w:val="21"/>
        </w:rPr>
        <w:t>Tribal history including housing, families and leadership.</w:t>
      </w:r>
    </w:p>
    <w:p>
      <w:pPr>
        <w:spacing w:after="100"/>
      </w:pPr>
      <w:hyperlink r:id="rId13">
        <w:r>
          <w:rPr>
            <w:rFonts w:ascii="Liberation Sans" w:hAnsi="Liberation Sans"/>
            <w:color w:val="15496B"/>
            <w:sz w:val="20"/>
          </w:rPr>
          <w:t>https://ctuir.org/about/brief-history-of-ctuir/</w:t>
        </w:r>
      </w:hyperlink>
    </w:p>
    <w:p>
      <w:pPr>
        <w:keepNext/>
        <w:spacing w:before="100" w:after="40"/>
      </w:pPr>
      <w:r>
        <w:rPr>
          <w:b/>
          <w:sz w:val="21"/>
        </w:rPr>
        <w:t>[5] Confederated Tribes of the Umatilla Indian Reservation. First Foods and life cycles.</w:t>
      </w:r>
    </w:p>
    <w:p>
      <w:pPr>
        <w:keepNext/>
        <w:spacing w:after="40"/>
      </w:pPr>
      <w:r>
        <w:rPr>
          <w:sz w:val="21"/>
        </w:rPr>
        <w:t>Tribal account of the seasonal food round.</w:t>
      </w:r>
    </w:p>
    <w:p>
      <w:pPr>
        <w:spacing w:after="100"/>
      </w:pPr>
      <w:hyperlink r:id="rId14">
        <w:r>
          <w:rPr>
            <w:rFonts w:ascii="Liberation Sans" w:hAnsi="Liberation Sans"/>
            <w:color w:val="15496B"/>
            <w:sz w:val="20"/>
          </w:rPr>
          <w:t>https://ctuir.org/about/first-foods/</w:t>
        </w:r>
      </w:hyperlink>
    </w:p>
    <w:p>
      <w:pPr>
        <w:keepNext/>
        <w:spacing w:before="100" w:after="40"/>
      </w:pPr>
      <w:r>
        <w:rPr>
          <w:b/>
          <w:sz w:val="21"/>
        </w:rPr>
        <w:t>[6] Meriwether Lewis. Journal for April 27 1806.</w:t>
      </w:r>
    </w:p>
    <w:p>
      <w:pPr>
        <w:keepNext/>
        <w:spacing w:after="40"/>
      </w:pPr>
      <w:r>
        <w:rPr>
          <w:sz w:val="21"/>
        </w:rPr>
        <w:t>Primary journal in the University of Nebraska digital scholarly edition.</w:t>
      </w:r>
    </w:p>
    <w:p>
      <w:pPr>
        <w:spacing w:after="100"/>
      </w:pPr>
      <w:hyperlink r:id="rId15">
        <w:r>
          <w:rPr>
            <w:rFonts w:ascii="Liberation Sans" w:hAnsi="Liberation Sans"/>
            <w:color w:val="15496B"/>
            <w:sz w:val="20"/>
          </w:rPr>
          <w:t>https://lewisandclarkjournals.unl.edu/item/lc.jrn.1806-04-27</w:t>
        </w:r>
      </w:hyperlink>
    </w:p>
    <w:p>
      <w:pPr>
        <w:keepNext/>
        <w:spacing w:before="100" w:after="40"/>
      </w:pPr>
      <w:r>
        <w:rPr>
          <w:b/>
          <w:sz w:val="21"/>
        </w:rPr>
        <w:t>[7] National Park Service. Yellept of Walla Walla.</w:t>
      </w:r>
    </w:p>
    <w:p>
      <w:pPr>
        <w:keepNext/>
        <w:spacing w:after="40"/>
      </w:pPr>
      <w:r>
        <w:rPr>
          <w:sz w:val="21"/>
        </w:rPr>
        <w:t>Historical interpretation updated in 2023.</w:t>
      </w:r>
    </w:p>
    <w:p>
      <w:pPr>
        <w:spacing w:after="100"/>
      </w:pPr>
      <w:hyperlink r:id="rId16">
        <w:r>
          <w:rPr>
            <w:rFonts w:ascii="Liberation Sans" w:hAnsi="Liberation Sans"/>
            <w:color w:val="15496B"/>
            <w:sz w:val="20"/>
          </w:rPr>
          <w:t>https://www.nps.gov/articles/000/yellept-of-walla-walla.htm</w:t>
        </w:r>
      </w:hyperlink>
    </w:p>
    <w:p>
      <w:pPr>
        <w:keepNext/>
        <w:spacing w:before="100" w:after="40"/>
      </w:pPr>
      <w:r>
        <w:rPr>
          <w:b/>
          <w:sz w:val="21"/>
        </w:rPr>
        <w:t>[8] Cain Allen. Yelleppit and the Walla Wallas.</w:t>
      </w:r>
    </w:p>
    <w:p>
      <w:pPr>
        <w:keepNext/>
        <w:spacing w:after="40"/>
      </w:pPr>
      <w:r>
        <w:rPr>
          <w:sz w:val="21"/>
        </w:rPr>
        <w:t>Oregon Historical Society interpretation with a journal excerpt revised in 2021.</w:t>
      </w:r>
    </w:p>
    <w:p>
      <w:pPr>
        <w:spacing w:after="100"/>
      </w:pPr>
      <w:hyperlink r:id="rId17">
        <w:r>
          <w:rPr>
            <w:rFonts w:ascii="Liberation Sans" w:hAnsi="Liberation Sans"/>
            <w:color w:val="15496B"/>
            <w:sz w:val="20"/>
          </w:rPr>
          <w:t>https://www.oregonhistoryproject.org/articles/historical-records/yelleppit-and-the-walla-walla/</w:t>
        </w:r>
      </w:hyperlink>
    </w:p>
    <w:p>
      <w:pPr>
        <w:keepNext/>
        <w:spacing w:before="100" w:after="40"/>
      </w:pPr>
      <w:r>
        <w:rPr>
          <w:b/>
          <w:sz w:val="21"/>
        </w:rPr>
        <w:t>[9] National Park Service. Tribal history and the place of the sunflowers.</w:t>
      </w:r>
    </w:p>
    <w:p>
      <w:pPr>
        <w:keepNext/>
        <w:spacing w:after="40"/>
      </w:pPr>
      <w:r>
        <w:rPr>
          <w:sz w:val="21"/>
        </w:rPr>
        <w:t>Tribal journal material and scholarship by Theodore Stern.</w:t>
      </w:r>
    </w:p>
    <w:p>
      <w:pPr>
        <w:spacing w:after="100"/>
      </w:pPr>
      <w:hyperlink r:id="rId18">
        <w:r>
          <w:rPr>
            <w:rFonts w:ascii="Liberation Sans" w:hAnsi="Liberation Sans"/>
            <w:color w:val="15496B"/>
            <w:sz w:val="20"/>
          </w:rPr>
          <w:t>https://www.nps.gov/whmi/learn/historyculture/place-of-sunflower.htm</w:t>
        </w:r>
      </w:hyperlink>
    </w:p>
    <w:p>
      <w:pPr>
        <w:keepNext/>
        <w:spacing w:before="100" w:after="40"/>
      </w:pPr>
      <w:r>
        <w:rPr>
          <w:b/>
          <w:sz w:val="21"/>
        </w:rPr>
        <w:t>[10] National Museum of the American Indian. Walla Walla pouch from about the 1840s.</w:t>
      </w:r>
    </w:p>
    <w:p>
      <w:pPr>
        <w:keepNext/>
        <w:spacing w:after="40"/>
      </w:pPr>
      <w:r>
        <w:rPr>
          <w:sz w:val="21"/>
        </w:rPr>
        <w:t>Smithsonian collection record for a historical object.</w:t>
      </w:r>
    </w:p>
    <w:p>
      <w:pPr>
        <w:spacing w:after="100"/>
      </w:pPr>
      <w:hyperlink r:id="rId19">
        <w:r>
          <w:rPr>
            <w:rFonts w:ascii="Liberation Sans" w:hAnsi="Liberation Sans"/>
            <w:color w:val="15496B"/>
            <w:sz w:val="20"/>
          </w:rPr>
          <w:t>https://americanindian.si.edu/exhibitions/infinityofnations/plains-plateau/129470.html</w:t>
        </w:r>
      </w:hyperlink>
    </w:p>
    <w:p>
      <w:pPr>
        <w:keepNext/>
        <w:spacing w:before="100" w:after="40"/>
      </w:pPr>
      <w:r>
        <w:rPr>
          <w:b/>
          <w:sz w:val="21"/>
        </w:rPr>
        <w:t>[11] National Museum of the American Indian. Walla Walla dress from about 1860 to 1880.</w:t>
      </w:r>
    </w:p>
    <w:p>
      <w:pPr>
        <w:keepNext/>
        <w:spacing w:after="40"/>
      </w:pPr>
      <w:r>
        <w:rPr>
          <w:sz w:val="21"/>
        </w:rPr>
        <w:t>Smithsonian collection record for a historical object.</w:t>
      </w:r>
    </w:p>
    <w:p>
      <w:pPr>
        <w:spacing w:after="100"/>
      </w:pPr>
      <w:hyperlink r:id="rId20">
        <w:r>
          <w:rPr>
            <w:rFonts w:ascii="Liberation Sans" w:hAnsi="Liberation Sans"/>
            <w:color w:val="15496B"/>
            <w:sz w:val="20"/>
          </w:rPr>
          <w:t>https://americanindian.si.edu/exhibitions/infinityofnations/plains-plateau/001048.html</w:t>
        </w:r>
      </w:hyperlink>
    </w:p>
    <w:p>
      <w:pPr>
        <w:keepNext/>
        <w:spacing w:before="100" w:after="40"/>
      </w:pPr>
      <w:r>
        <w:rPr>
          <w:b/>
          <w:sz w:val="21"/>
        </w:rPr>
        <w:t>[12] Jennifer Karson Engum. Traditional use study of Willamette Falls and the lower Columbia River.</w:t>
      </w:r>
    </w:p>
    <w:p>
      <w:pPr>
        <w:keepNext/>
        <w:spacing w:after="40"/>
      </w:pPr>
      <w:r>
        <w:rPr>
          <w:sz w:val="21"/>
        </w:rPr>
        <w:t>CTUIR ethnographic report 2020 especially printed pages 2 to 6.</w:t>
      </w:r>
    </w:p>
    <w:p>
      <w:pPr>
        <w:spacing w:after="100"/>
      </w:pPr>
      <w:hyperlink r:id="rId21">
        <w:r>
          <w:rPr>
            <w:rFonts w:ascii="Liberation Sans" w:hAnsi="Liberation Sans"/>
            <w:color w:val="15496B"/>
            <w:sz w:val="20"/>
          </w:rPr>
          <w:t>https://ctuir.org/media/55mobq1j/ctuir-traditional-use-study-of-willamette-falls-and-lower-willamette-river_nov-2020.pdf</w:t>
        </w:r>
      </w:hyperlink>
    </w:p>
    <w:p>
      <w:pPr>
        <w:keepNext/>
        <w:spacing w:before="100" w:after="40"/>
      </w:pPr>
      <w:r>
        <w:rPr>
          <w:b/>
          <w:sz w:val="21"/>
        </w:rPr>
        <w:t>[13] Cliff Trafzer. Walla Walla Treaty Council 1855.</w:t>
      </w:r>
    </w:p>
    <w:p>
      <w:pPr>
        <w:keepNext/>
        <w:spacing w:after="40"/>
      </w:pPr>
      <w:r>
        <w:rPr>
          <w:sz w:val="21"/>
        </w:rPr>
        <w:t>Scholarly historical essay in The Oregon Encyclopedia.</w:t>
      </w:r>
    </w:p>
    <w:p>
      <w:pPr>
        <w:spacing w:after="100"/>
      </w:pPr>
      <w:hyperlink r:id="rId22">
        <w:r>
          <w:rPr>
            <w:rFonts w:ascii="Liberation Sans" w:hAnsi="Liberation Sans"/>
            <w:color w:val="15496B"/>
            <w:sz w:val="20"/>
          </w:rPr>
          <w:t>https://www.oregonencyclopedia.org/articles/walla_walla_treaty_council_1855/</w:t>
        </w:r>
      </w:hyperlink>
    </w:p>
    <w:p>
      <w:pPr>
        <w:keepNext/>
        <w:spacing w:before="100" w:after="40"/>
      </w:pPr>
      <w:r>
        <w:rPr>
          <w:b/>
          <w:sz w:val="21"/>
        </w:rPr>
        <w:t>[14] United States and Walla Walla Cayuse and Umatilla treaty delegates. Treaty concluded June 9 1855.</w:t>
      </w:r>
    </w:p>
    <w:p>
      <w:pPr>
        <w:keepNext/>
        <w:spacing w:after="40"/>
      </w:pPr>
      <w:r>
        <w:rPr>
          <w:sz w:val="21"/>
        </w:rPr>
        <w:t>Primary printed treaty 12 Stat 945 to 950 with ratification and proclamation dates.</w:t>
      </w:r>
    </w:p>
    <w:p>
      <w:pPr>
        <w:spacing w:after="100"/>
      </w:pPr>
      <w:hyperlink r:id="rId23">
        <w:r>
          <w:rPr>
            <w:rFonts w:ascii="Liberation Sans" w:hAnsi="Liberation Sans"/>
            <w:color w:val="15496B"/>
            <w:sz w:val="20"/>
          </w:rPr>
          <w:t>https://www.govinfo.gov/content/pkg/STATUTE-12/pdf/STATUTE-12-Pg945.pdf</w:t>
        </w:r>
      </w:hyperlink>
    </w:p>
    <w:p>
      <w:pPr>
        <w:keepNext/>
        <w:spacing w:before="100" w:after="40"/>
      </w:pPr>
      <w:r>
        <w:rPr>
          <w:b/>
          <w:sz w:val="21"/>
        </w:rPr>
        <w:t>[15] Stephen B Emerson. Battle of Walla Walla in December 1855.</w:t>
      </w:r>
    </w:p>
    <w:p>
      <w:pPr>
        <w:keepNext/>
        <w:spacing w:after="40"/>
      </w:pPr>
      <w:r>
        <w:rPr>
          <w:sz w:val="21"/>
        </w:rPr>
        <w:t>HistoryLink historical essay 2008 with a source bibliography.</w:t>
      </w:r>
    </w:p>
    <w:p>
      <w:pPr>
        <w:spacing w:after="100"/>
      </w:pPr>
      <w:hyperlink r:id="rId24">
        <w:r>
          <w:rPr>
            <w:rFonts w:ascii="Liberation Sans" w:hAnsi="Liberation Sans"/>
            <w:color w:val="15496B"/>
            <w:sz w:val="20"/>
          </w:rPr>
          <w:t>https://www.historylink.org/file/8132</w:t>
        </w:r>
      </w:hyperlink>
    </w:p>
    <w:p>
      <w:pPr>
        <w:keepNext/>
        <w:spacing w:before="100" w:after="40"/>
      </w:pPr>
      <w:r>
        <w:rPr>
          <w:b/>
          <w:sz w:val="21"/>
        </w:rPr>
        <w:t>[16] Cliff Trafzer. Native American treaties in northeastern Oregon.</w:t>
      </w:r>
    </w:p>
    <w:p>
      <w:pPr>
        <w:keepNext/>
        <w:spacing w:after="40"/>
      </w:pPr>
      <w:r>
        <w:rPr>
          <w:sz w:val="21"/>
        </w:rPr>
        <w:t>Scholarly historical essay especially its allotment section.</w:t>
      </w:r>
    </w:p>
    <w:p>
      <w:pPr>
        <w:spacing w:after="100"/>
      </w:pPr>
      <w:hyperlink r:id="rId25">
        <w:r>
          <w:rPr>
            <w:rFonts w:ascii="Liberation Sans" w:hAnsi="Liberation Sans"/>
            <w:color w:val="15496B"/>
            <w:sz w:val="20"/>
          </w:rPr>
          <w:t>https://www.oregonencyclopedia.org/articles/native_american_treaties_eastern_oregon/</w:t>
        </w:r>
      </w:hyperlink>
    </w:p>
    <w:p>
      <w:pPr>
        <w:keepNext/>
        <w:spacing w:before="100" w:after="40"/>
      </w:pPr>
      <w:r>
        <w:rPr>
          <w:b/>
          <w:sz w:val="21"/>
        </w:rPr>
        <w:t>[17] Cary Collins. Indian boarding schools.</w:t>
      </w:r>
    </w:p>
    <w:p>
      <w:pPr>
        <w:keepNext/>
        <w:spacing w:after="40"/>
      </w:pPr>
      <w:r>
        <w:rPr>
          <w:sz w:val="21"/>
        </w:rPr>
        <w:t>Scholarly regional history in The Oregon Encyclopedia.</w:t>
      </w:r>
    </w:p>
    <w:p>
      <w:pPr>
        <w:spacing w:after="100"/>
      </w:pPr>
      <w:hyperlink r:id="rId26">
        <w:r>
          <w:rPr>
            <w:rFonts w:ascii="Liberation Sans" w:hAnsi="Liberation Sans"/>
            <w:color w:val="15496B"/>
            <w:sz w:val="20"/>
          </w:rPr>
          <w:t>https://www.oregonencyclopedia.org/articles/indian_boarding_school/</w:t>
        </w:r>
      </w:hyperlink>
    </w:p>
    <w:p>
      <w:pPr>
        <w:keepNext/>
        <w:spacing w:before="100" w:after="40"/>
      </w:pPr>
      <w:r>
        <w:rPr>
          <w:b/>
          <w:sz w:val="21"/>
        </w:rPr>
        <w:t>[18] Confederated Tribes of the Umatilla Indian Reservation. Constitution and bylaws of 1949.</w:t>
      </w:r>
    </w:p>
    <w:p>
      <w:pPr>
        <w:keepNext/>
        <w:spacing w:after="40"/>
      </w:pPr>
      <w:r>
        <w:rPr>
          <w:sz w:val="21"/>
        </w:rPr>
        <w:t>Historical primary document hosted by the University of Oklahoma College of Law.</w:t>
      </w:r>
    </w:p>
    <w:p>
      <w:pPr>
        <w:spacing w:after="100"/>
      </w:pPr>
      <w:hyperlink r:id="rId27">
        <w:r>
          <w:rPr>
            <w:rFonts w:ascii="Liberation Sans" w:hAnsi="Liberation Sans"/>
            <w:color w:val="15496B"/>
            <w:sz w:val="20"/>
          </w:rPr>
          <w:t>https://thorpe.law.ou.edu/constitution/umatilla.html</w:t>
        </w:r>
      </w:hyperlink>
    </w:p>
    <w:p>
      <w:pPr>
        <w:keepNext/>
        <w:spacing w:before="100" w:after="40"/>
      </w:pPr>
      <w:r>
        <w:rPr>
          <w:b/>
          <w:sz w:val="21"/>
        </w:rPr>
        <w:t>[19] Confederated Tribes of the Umatilla Indian Reservation. About us.</w:t>
      </w:r>
    </w:p>
    <w:p>
      <w:pPr>
        <w:keepNext/>
        <w:spacing w:after="40"/>
      </w:pPr>
      <w:r>
        <w:rPr>
          <w:sz w:val="21"/>
        </w:rPr>
        <w:t>Current tribal government overview consulted October 21 2026.</w:t>
      </w:r>
    </w:p>
    <w:p>
      <w:pPr>
        <w:spacing w:after="100"/>
      </w:pPr>
      <w:hyperlink r:id="rId28">
        <w:r>
          <w:rPr>
            <w:rFonts w:ascii="Liberation Sans" w:hAnsi="Liberation Sans"/>
            <w:color w:val="15496B"/>
            <w:sz w:val="20"/>
          </w:rPr>
          <w:t>https://ctuir.org/about/</w:t>
        </w:r>
      </w:hyperlink>
    </w:p>
    <w:p>
      <w:pPr>
        <w:keepNext/>
        <w:spacing w:before="100" w:after="40"/>
      </w:pPr>
      <w:r>
        <w:rPr>
          <w:b/>
          <w:sz w:val="21"/>
        </w:rPr>
        <w:t>[20] Katrine Barber. Celilo Falls.</w:t>
      </w:r>
    </w:p>
    <w:p>
      <w:pPr>
        <w:keepNext/>
        <w:spacing w:after="40"/>
      </w:pPr>
      <w:r>
        <w:rPr>
          <w:sz w:val="21"/>
        </w:rPr>
        <w:t>Scholarly historical essay in The Oregon Encyclopedia updated in 2024.</w:t>
      </w:r>
    </w:p>
    <w:p>
      <w:pPr>
        <w:spacing w:after="100"/>
      </w:pPr>
      <w:hyperlink r:id="rId29">
        <w:r>
          <w:rPr>
            <w:rFonts w:ascii="Liberation Sans" w:hAnsi="Liberation Sans"/>
            <w:color w:val="15496B"/>
            <w:sz w:val="20"/>
          </w:rPr>
          <w:t>https://www.oregonencyclopedia.org/articles/celilo_falls/</w:t>
        </w:r>
      </w:hyperlink>
    </w:p>
    <w:p>
      <w:pPr>
        <w:keepNext/>
        <w:spacing w:before="100" w:after="40"/>
      </w:pPr>
      <w:r>
        <w:rPr>
          <w:b/>
          <w:sz w:val="21"/>
        </w:rPr>
        <w:t>[21] Eric J Quaempts and colleagues. First Foods and ecosystem resilience.</w:t>
      </w:r>
    </w:p>
    <w:p>
      <w:pPr>
        <w:keepNext/>
        <w:spacing w:after="40"/>
      </w:pPr>
      <w:r>
        <w:rPr>
          <w:sz w:val="21"/>
        </w:rPr>
        <w:t>Peer reviewed Ecology and Society article 2018 abstract and publication record at USGS.</w:t>
      </w:r>
    </w:p>
    <w:p>
      <w:pPr>
        <w:spacing w:after="100"/>
      </w:pPr>
      <w:hyperlink r:id="rId30">
        <w:r>
          <w:rPr>
            <w:rFonts w:ascii="Liberation Sans" w:hAnsi="Liberation Sans"/>
            <w:color w:val="15496B"/>
            <w:sz w:val="20"/>
          </w:rPr>
          <w:t>https://www.usgs.gov/publications/aligning-environmental-management-ecosystem-resilience-a-first-foods-example</w:t>
        </w:r>
      </w:hyperlink>
    </w:p>
    <w:p>
      <w:pPr>
        <w:keepNext/>
        <w:spacing w:before="100" w:after="40"/>
      </w:pPr>
      <w:r>
        <w:rPr>
          <w:b/>
          <w:sz w:val="21"/>
        </w:rPr>
        <w:t>[22] CTUIR Fisheries Habitat Program. Program mission and river restoration approach.</w:t>
      </w:r>
    </w:p>
    <w:p>
      <w:pPr>
        <w:keepNext/>
        <w:spacing w:after="40"/>
      </w:pPr>
      <w:r>
        <w:rPr>
          <w:sz w:val="21"/>
        </w:rPr>
        <w:t>Primary account of present tribal resource management.</w:t>
      </w:r>
    </w:p>
    <w:p>
      <w:pPr>
        <w:spacing w:after="100"/>
      </w:pPr>
      <w:hyperlink r:id="rId31">
        <w:r>
          <w:rPr>
            <w:rFonts w:ascii="Liberation Sans" w:hAnsi="Liberation Sans"/>
            <w:color w:val="15496B"/>
            <w:sz w:val="20"/>
          </w:rPr>
          <w:t>https://fisherieshabitat.ctuir.org/</w:t>
        </w:r>
      </w:hyperlink>
    </w:p>
    <w:p>
      <w:pPr>
        <w:keepNext/>
        <w:spacing w:before="100" w:after="40"/>
      </w:pPr>
      <w:r>
        <w:rPr>
          <w:b/>
          <w:sz w:val="21"/>
        </w:rPr>
        <w:t>[23] Confederated Tribes of the Umatilla Indian Reservation. Tamastslikt anniversary announcement.</w:t>
      </w:r>
    </w:p>
    <w:p>
      <w:pPr>
        <w:keepNext/>
        <w:spacing w:after="40"/>
      </w:pPr>
      <w:r>
        <w:rPr>
          <w:sz w:val="21"/>
        </w:rPr>
        <w:t>Tribal announcement August 6 2025 documenting the museum opening date.</w:t>
      </w:r>
    </w:p>
    <w:p>
      <w:pPr>
        <w:spacing w:after="100"/>
      </w:pPr>
      <w:hyperlink r:id="rId32">
        <w:r>
          <w:rPr>
            <w:rFonts w:ascii="Liberation Sans" w:hAnsi="Liberation Sans"/>
            <w:color w:val="15496B"/>
            <w:sz w:val="20"/>
          </w:rPr>
          <w:t>https://ctuir.org/news/tamastslikt-cultural-institute-to-hold-anniversary-sale-aug-7-9/</w:t>
        </w:r>
      </w:hyperlink>
    </w:p>
    <w:p>
      <w:pPr>
        <w:keepNext/>
        <w:spacing w:before="100" w:after="40"/>
      </w:pPr>
      <w:r>
        <w:rPr>
          <w:b/>
          <w:sz w:val="21"/>
        </w:rPr>
        <w:t>[24] National Park Service. Whitman Mission history.</w:t>
      </w:r>
    </w:p>
    <w:p>
      <w:pPr>
        <w:keepNext/>
        <w:spacing w:after="40"/>
      </w:pPr>
      <w:r>
        <w:rPr>
          <w:sz w:val="21"/>
        </w:rPr>
        <w:t>Historical overview of the mission the Cayuse and the 1847 crisis.</w:t>
      </w:r>
    </w:p>
    <w:p>
      <w:pPr>
        <w:spacing w:after="100"/>
      </w:pPr>
      <w:hyperlink r:id="rId33">
        <w:r>
          <w:rPr>
            <w:rFonts w:ascii="Liberation Sans" w:hAnsi="Liberation Sans"/>
            <w:color w:val="15496B"/>
            <w:sz w:val="20"/>
          </w:rPr>
          <w:t>https://www.nps.gov/whmi/learn/index.htm</w:t>
        </w:r>
      </w:hyperlink>
    </w:p>
    <w:sectPr w:rsidR="00FC693F" w:rsidRPr="0006063C" w:rsidSect="00034616">
      <w:footerReference w:type="default" r:id="rId9"/>
      <w:pgSz w:w="12240" w:h="15840"/>
      <w:pgMar w:top="1037" w:right="1152" w:bottom="1008" w:left="1152" w:header="72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Liberation Serif" w:hAnsi="Liberation Serif"/>
      <w:color w:val="000000"/>
      <w:sz w:val="23"/>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Liberation Serif" w:hAnsi="Liberation Serif"/>
      <w:b/>
      <w:bCs/>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DejaVu Sans" w:hAnsi="DejaVu Sans"/>
      <w:b/>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erif" w:hAnsi="Liberation Serif"/>
      <w:b/>
      <w:bCs/>
      <w:color w:val="000000"/>
      <w:sz w:val="18"/>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tuir.org/about/history-culture/" TargetMode="External"/><Relationship Id="rId11" Type="http://schemas.openxmlformats.org/officeDocument/2006/relationships/hyperlink" Target="https://dictionary.ctuir.org/eng/walla-walla/" TargetMode="External"/><Relationship Id="rId12" Type="http://schemas.openxmlformats.org/officeDocument/2006/relationships/hyperlink" Target="https://ctuir.org/about/language/" TargetMode="External"/><Relationship Id="rId13" Type="http://schemas.openxmlformats.org/officeDocument/2006/relationships/hyperlink" Target="https://ctuir.org/about/brief-history-of-ctuir/" TargetMode="External"/><Relationship Id="rId14" Type="http://schemas.openxmlformats.org/officeDocument/2006/relationships/hyperlink" Target="https://ctuir.org/about/first-foods/" TargetMode="External"/><Relationship Id="rId15" Type="http://schemas.openxmlformats.org/officeDocument/2006/relationships/hyperlink" Target="https://lewisandclarkjournals.unl.edu/item/lc.jrn.1806-04-27" TargetMode="External"/><Relationship Id="rId16" Type="http://schemas.openxmlformats.org/officeDocument/2006/relationships/hyperlink" Target="https://www.nps.gov/articles/000/yellept-of-walla-walla.htm" TargetMode="External"/><Relationship Id="rId17" Type="http://schemas.openxmlformats.org/officeDocument/2006/relationships/hyperlink" Target="https://www.oregonhistoryproject.org/articles/historical-records/yelleppit-and-the-walla-walla/" TargetMode="External"/><Relationship Id="rId18" Type="http://schemas.openxmlformats.org/officeDocument/2006/relationships/hyperlink" Target="https://www.nps.gov/whmi/learn/historyculture/place-of-sunflower.htm" TargetMode="External"/><Relationship Id="rId19" Type="http://schemas.openxmlformats.org/officeDocument/2006/relationships/hyperlink" Target="https://americanindian.si.edu/exhibitions/infinityofnations/plains-plateau/129470.html" TargetMode="External"/><Relationship Id="rId20" Type="http://schemas.openxmlformats.org/officeDocument/2006/relationships/hyperlink" Target="https://americanindian.si.edu/exhibitions/infinityofnations/plains-plateau/001048.html" TargetMode="External"/><Relationship Id="rId21" Type="http://schemas.openxmlformats.org/officeDocument/2006/relationships/hyperlink" Target="https://ctuir.org/media/55mobq1j/ctuir-traditional-use-study-of-willamette-falls-and-lower-willamette-river_nov-2020.pdf" TargetMode="External"/><Relationship Id="rId22" Type="http://schemas.openxmlformats.org/officeDocument/2006/relationships/hyperlink" Target="https://www.oregonencyclopedia.org/articles/walla_walla_treaty_council_1855/" TargetMode="External"/><Relationship Id="rId23" Type="http://schemas.openxmlformats.org/officeDocument/2006/relationships/hyperlink" Target="https://www.govinfo.gov/content/pkg/STATUTE-12/pdf/STATUTE-12-Pg945.pdf" TargetMode="External"/><Relationship Id="rId24" Type="http://schemas.openxmlformats.org/officeDocument/2006/relationships/hyperlink" Target="https://www.historylink.org/file/8132" TargetMode="External"/><Relationship Id="rId25" Type="http://schemas.openxmlformats.org/officeDocument/2006/relationships/hyperlink" Target="https://www.oregonencyclopedia.org/articles/native_american_treaties_eastern_oregon/" TargetMode="External"/><Relationship Id="rId26" Type="http://schemas.openxmlformats.org/officeDocument/2006/relationships/hyperlink" Target="https://www.oregonencyclopedia.org/articles/indian_boarding_school/" TargetMode="External"/><Relationship Id="rId27" Type="http://schemas.openxmlformats.org/officeDocument/2006/relationships/hyperlink" Target="https://thorpe.law.ou.edu/constitution/umatilla.html" TargetMode="External"/><Relationship Id="rId28" Type="http://schemas.openxmlformats.org/officeDocument/2006/relationships/hyperlink" Target="https://ctuir.org/about/" TargetMode="External"/><Relationship Id="rId29" Type="http://schemas.openxmlformats.org/officeDocument/2006/relationships/hyperlink" Target="https://www.oregonencyclopedia.org/articles/celilo_falls/" TargetMode="External"/><Relationship Id="rId30" Type="http://schemas.openxmlformats.org/officeDocument/2006/relationships/hyperlink" Target="https://www.usgs.gov/publications/aligning-environmental-management-ecosystem-resilience-a-first-foods-example" TargetMode="External"/><Relationship Id="rId31" Type="http://schemas.openxmlformats.org/officeDocument/2006/relationships/hyperlink" Target="https://fisherieshabitat.ctuir.org/" TargetMode="External"/><Relationship Id="rId32" Type="http://schemas.openxmlformats.org/officeDocument/2006/relationships/hyperlink" Target="https://ctuir.org/news/tamastslikt-cultural-institute-to-hold-anniversary-sale-aug-7-9/" TargetMode="External"/><Relationship Id="rId33" Type="http://schemas.openxmlformats.org/officeDocument/2006/relationships/hyperlink" Target="https://www.nps.gov/whmi/lear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Walla Walla History Culture and Timeline</dc:title>
  <dc:subject>History and living culture of the Walla Walla people</dc:subject>
  <dc:creator/>
  <cp:keywords>Walla Walla, Walúulapam, CTUIR, Columbia Plateau</cp:keywords>
  <dc:description>generated by python-docx</dc:description>
  <cp:lastModifiedBy/>
  <cp:revision>1</cp:revision>
  <dcterms:created xsi:type="dcterms:W3CDTF">2013-12-23T23:15:00Z</dcterms:created>
  <dcterms:modified xsi:type="dcterms:W3CDTF">2013-12-23T23:15:00Z</dcterms:modified>
  <cp:category/>
</cp:coreProperties>
</file>